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1C" w:rsidRPr="00DE141C" w:rsidRDefault="00DE14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DE141C">
        <w:rPr>
          <w:rFonts w:ascii="Times New Roman" w:hAnsi="Times New Roman" w:cs="Times New Roman"/>
          <w:b/>
          <w:bCs/>
        </w:rPr>
        <w:t>Инвентариз</w:t>
      </w:r>
      <w:r>
        <w:rPr>
          <w:rFonts w:ascii="Times New Roman" w:hAnsi="Times New Roman" w:cs="Times New Roman"/>
          <w:b/>
          <w:bCs/>
        </w:rPr>
        <w:t>ация</w:t>
      </w:r>
      <w:r w:rsidRPr="00DE141C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Pr="00DE141C">
          <w:rPr>
            <w:rFonts w:ascii="Times New Roman" w:hAnsi="Times New Roman" w:cs="Times New Roman"/>
            <w:b/>
            <w:bCs/>
          </w:rPr>
          <w:t>счет</w:t>
        </w:r>
        <w:r>
          <w:rPr>
            <w:rFonts w:ascii="Times New Roman" w:hAnsi="Times New Roman" w:cs="Times New Roman"/>
            <w:b/>
            <w:bCs/>
          </w:rPr>
          <w:t>а</w:t>
        </w:r>
        <w:r w:rsidRPr="00DE141C">
          <w:rPr>
            <w:rFonts w:ascii="Times New Roman" w:hAnsi="Times New Roman" w:cs="Times New Roman"/>
            <w:b/>
            <w:bCs/>
          </w:rPr>
          <w:t xml:space="preserve"> 97</w:t>
        </w:r>
      </w:hyperlink>
      <w:r w:rsidRPr="00DE141C">
        <w:rPr>
          <w:rFonts w:ascii="Times New Roman" w:hAnsi="Times New Roman" w:cs="Times New Roman"/>
          <w:b/>
          <w:bCs/>
        </w:rPr>
        <w:t xml:space="preserve"> "Расходы будущих периодов"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969"/>
        <w:gridCol w:w="993"/>
        <w:gridCol w:w="2976"/>
      </w:tblGrid>
      <w:tr w:rsidR="00DE141C" w:rsidRPr="00DE141C" w:rsidTr="00517CF6">
        <w:trPr>
          <w:cantSplit/>
          <w:trHeight w:val="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Активы/расходы,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учитываемые ранее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как РБП      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Суть актива/расхода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порядок его учета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Строка в отчетности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(подстрока - если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существенная) </w:t>
            </w:r>
          </w:p>
        </w:tc>
      </w:tr>
      <w:tr w:rsidR="00DE141C" w:rsidRPr="00DE141C" w:rsidTr="00517CF6">
        <w:trPr>
          <w:cantSplit/>
          <w:trHeight w:val="21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9C51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Компьютерные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программы,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приобретенные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использования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(не рассматриваем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оплату периодических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платежей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приобретение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исключительных прав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программное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обеспечение)         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9C51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Это права пользования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объектами интеллектуальной собственности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(нематериальными активами -</w:t>
            </w:r>
            <w:r w:rsidR="00517C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НМА).       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НМА, </w:t>
            </w:r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полученные</w:t>
            </w:r>
            <w:proofErr w:type="gramEnd"/>
            <w:r w:rsidR="00517CF6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пользование, надо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учитывать на </w:t>
            </w:r>
            <w:proofErr w:type="spellStart"/>
            <w:r w:rsidR="00517CF6">
              <w:rPr>
                <w:rFonts w:ascii="Times New Roman" w:hAnsi="Times New Roman" w:cs="Times New Roman"/>
                <w:sz w:val="22"/>
                <w:szCs w:val="22"/>
              </w:rPr>
              <w:t>забалансовом</w:t>
            </w:r>
            <w:proofErr w:type="spellEnd"/>
            <w:r w:rsidR="00517C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счете. Сумму фиксированного разового платежа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за пользование НМА надо</w:t>
            </w:r>
            <w:r w:rsidR="00517C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отражать как расходы будущих</w:t>
            </w:r>
            <w:r w:rsidR="00517C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периодов и списывать </w:t>
            </w:r>
            <w:r w:rsidR="009C51D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течение срока действия </w:t>
            </w:r>
            <w:r w:rsidR="009C51D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оговора. К счету 97 можно открыть субсчет "Программное обеспечение"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Подстрока "Права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пользования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программным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обеспечением":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строки 1170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"Прочие </w:t>
            </w:r>
            <w:proofErr w:type="spell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внеоборотные</w:t>
            </w:r>
            <w:proofErr w:type="spell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активы" разд. I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баланса - если срок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использования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более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12 месяцев;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строки 1210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"Запасы" разд. II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баланса - если срок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использования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менее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12 месяцев           </w:t>
            </w:r>
          </w:p>
        </w:tc>
      </w:tr>
      <w:tr w:rsidR="00DE141C" w:rsidRPr="00DE141C" w:rsidTr="00517CF6">
        <w:trPr>
          <w:cantSplit/>
          <w:trHeight w:val="12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а) у вас есть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лицензионный договор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(подписанный вами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правообладателем)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же </w:t>
            </w:r>
            <w:proofErr w:type="spell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сублицензионный</w:t>
            </w:r>
            <w:proofErr w:type="spell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              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C572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Разовый платеж за использование программы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надо списывать: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(или) в течение срока</w:t>
            </w:r>
            <w:r w:rsidR="00C57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использования, указанного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договоре, - если он есть;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в течение 5 лет </w:t>
            </w:r>
            <w:r w:rsidR="00C5724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если</w:t>
            </w:r>
            <w:r w:rsidR="00C57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в договоре не указан срок   </w:t>
            </w: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41C" w:rsidRPr="00DE141C" w:rsidTr="00517CF6">
        <w:trPr>
          <w:cantSplit/>
          <w:trHeight w:val="31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б) у вас лишь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"оберточная"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("упаковочная")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лицензия. Это ди</w:t>
            </w:r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ск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с пр</w:t>
            </w:r>
            <w:proofErr w:type="gram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ограммой,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упаковке которого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указаны условия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использования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программы. Начало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использования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такого диска означает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заключение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правообладателем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 присоединения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C5724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Если срок использования установлен, признаем расходы</w:t>
            </w:r>
            <w:r w:rsidR="00C57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этого срока.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 срок использования программы, как правило,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 ограничен - ни условиями присоединения,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 Гражданским кодексом (правило о пятилетнем сроке здесь не применяется).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Поэтому можно: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(или) самостоятельно</w:t>
            </w:r>
            <w:r w:rsidR="00C57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определить срок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использования программы и распределять расходы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между отчетными периодами (если стоимость программы </w:t>
            </w:r>
            <w:r w:rsidR="00C5724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ущественна);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вспомнить требование о рациональности бухучета и списать стоимость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(если она невелика) сразу на расходы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момент начала использования               </w:t>
            </w:r>
          </w:p>
        </w:tc>
        <w:tc>
          <w:tcPr>
            <w:tcW w:w="2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41C" w:rsidRPr="00DE141C" w:rsidTr="00DE0359">
        <w:trPr>
          <w:cantSplit/>
          <w:trHeight w:val="8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2B54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ри расчете налога на прибыль (по мнению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контролирующих органов) стоимость прав использования программного обеспечения надо признавать в течение срока действия лицензии или в течение 5 лет (если такого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срока нет)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. Но есть решения судов,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которые считают, что расходы на приобретение прав на использование </w:t>
            </w:r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54F3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жно списать единовременно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</w:p>
        </w:tc>
      </w:tr>
      <w:tr w:rsidR="00DE141C" w:rsidRPr="00DE141C" w:rsidTr="00517CF6">
        <w:trPr>
          <w:cantSplit/>
          <w:trHeight w:val="28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Разовые платежи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договорам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страхования          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89" w:rsidRDefault="00DE141C" w:rsidP="00186D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Это типичный аванс, то есть дебиторская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задолженность. Ведь</w:t>
            </w:r>
            <w:r w:rsidR="00186D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условиями договоров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предусматривается, </w:t>
            </w:r>
            <w:r w:rsidR="00186D8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то в случае их досрочного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расторжения страховая</w:t>
            </w:r>
            <w:r w:rsidR="00186D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компания должна вернуть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часть страховых платежей (пропорциональную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оставшемуся сроку действия</w:t>
            </w:r>
            <w:r w:rsidR="00186D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договора). Расходы будут появляться постепенно - по мере истечения срока страхования.</w:t>
            </w:r>
          </w:p>
          <w:p w:rsidR="00DE141C" w:rsidRPr="00DE141C" w:rsidRDefault="00DE141C" w:rsidP="00186D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Страховки со счета 97 лучше убрать - </w:t>
            </w:r>
            <w:r w:rsidR="00186D8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х безболезненно можно перенести на счет 76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"Расчеты с прочими дебиторами и кредиторами",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заведя для них отдельный субсчет - к примеру,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"Страховые платежи"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2B54F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Формирует показатель по строке 1230 "Дебиторская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задолженность"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разд. II баланса.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зависимости от срока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="002B54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ее можно отразить </w:t>
            </w:r>
            <w:r w:rsidR="002B54F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о двум разным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подстрокам: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- долгосрочная</w:t>
            </w:r>
            <w:r w:rsidR="002B54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дебиторская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задолженность (срок - более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12 месяцев);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- краткосрочная</w:t>
            </w:r>
            <w:r w:rsidR="002B54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дебиторская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задолженность (срок - менее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12 месяцев)          </w:t>
            </w:r>
          </w:p>
        </w:tc>
      </w:tr>
      <w:tr w:rsidR="00DE141C" w:rsidRPr="00DE141C" w:rsidTr="00DE0359">
        <w:trPr>
          <w:cantSplit/>
          <w:trHeight w:val="108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C302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В налоговом учете, если платежи по конкретному договору страхования можно</w:t>
            </w:r>
            <w:r w:rsidR="00C302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учесть в расходах при расчете налога на прибыль, это надо делать так: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(или) разовый платеж нужно признавать равномерно в течение срока действия</w:t>
            </w:r>
            <w:r w:rsidR="00C302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пропорционально количеству календарных дней действия договора в отчетном периоде;                                      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(или) периодические платежи - равномерно в течение срока,</w:t>
            </w:r>
            <w:r w:rsidR="00C302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соответствующего периоду уплаты взносов, пропорционально количеству </w:t>
            </w:r>
            <w:r w:rsidR="00C30276">
              <w:rPr>
                <w:rFonts w:ascii="Times New Roman" w:hAnsi="Times New Roman" w:cs="Times New Roman"/>
                <w:sz w:val="22"/>
                <w:szCs w:val="22"/>
              </w:rPr>
              <w:t>кале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ндарных дней действия договора в отчетном периоде                    </w:t>
            </w:r>
          </w:p>
        </w:tc>
      </w:tr>
      <w:tr w:rsidR="00DE141C" w:rsidRPr="00DE141C" w:rsidTr="00517CF6">
        <w:trPr>
          <w:cantSplit/>
          <w:trHeight w:val="24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Расходы, связанные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выполнением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договоров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строительного подряда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C302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сути</w:t>
            </w:r>
            <w:proofErr w:type="gram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это незавершенное производство (НЗП). Но их можно продолжать учитывать на счете 97, так как в ПБУ 2/2008 "Учет договоров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строительного подряда"</w:t>
            </w:r>
            <w:r w:rsidR="00C302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содержится прямая норма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том, что в составе расходов будущих периодов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должны отражаться "расходы,</w:t>
            </w:r>
            <w:r w:rsidR="00C302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связанные с выполнением договоров строительного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подряда, понесенные в связи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предстоящими работами"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. Лучше открыть субсчет 97-"Расходы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выполнение предстоящих работ по договорам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строительного подряда"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Подстрока "Расходы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выполнение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предстоящих работ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договорам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строительного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подряда" строки 1210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"Запасы" разд. II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баланса              </w:t>
            </w:r>
          </w:p>
        </w:tc>
      </w:tr>
      <w:tr w:rsidR="00DE141C" w:rsidRPr="00DE141C" w:rsidTr="00517CF6">
        <w:trPr>
          <w:cantSplit/>
          <w:trHeight w:val="25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B810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Пусковые и </w:t>
            </w:r>
            <w:proofErr w:type="spellStart"/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подготовите</w:t>
            </w:r>
            <w:r w:rsidR="000911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льные</w:t>
            </w:r>
            <w:proofErr w:type="spellEnd"/>
            <w:proofErr w:type="gramEnd"/>
            <w:r w:rsidR="0009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расходы: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- при подготовительных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работах в сезонных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производствах;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при </w:t>
            </w:r>
            <w:proofErr w:type="spell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горно-подготовите</w:t>
            </w:r>
            <w:r w:rsidR="000911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льных</w:t>
            </w:r>
            <w:proofErr w:type="spell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работах;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- при освоении</w:t>
            </w:r>
            <w:r w:rsidR="000911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новых производств, цехов и агрегатов (пусковые расходы);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- при подготовке</w:t>
            </w:r>
            <w:r w:rsidR="0009115D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освоении производства новых </w:t>
            </w:r>
            <w:r w:rsidR="0009115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идов продукции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новых технологий;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при рекультивации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             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B810C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По сути это НЗП. Расходы, связанные с подготовкой нового производства, по-прежнему можно учитывать </w:t>
            </w:r>
            <w:r w:rsidR="00B810C5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ак расходы будущих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периодов на счете 97 "Расходы будущих периодов". Основание - общий принцип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распределения расходов </w:t>
            </w:r>
            <w:proofErr w:type="gramStart"/>
            <w:r w:rsidR="00B810C5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gram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то, что эти суммы </w:t>
            </w:r>
            <w:proofErr w:type="spell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учтутся</w:t>
            </w:r>
            <w:proofErr w:type="spell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в дальнейшем в себестоимости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выпускаемой продукции. Кроме</w:t>
            </w:r>
            <w:r w:rsidR="00B810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того, для учета в составе РБП материалов, отпущенных на пусковые 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подготовительные работы, есть прямая норма.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каждой группы таких расходов можно открыть отдельный субсчет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Можно предусмотреть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подстроку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строке 1210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"Запасы" разд. II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баланса для каждой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группы таких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расходов. К примеру: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"Затраты на освоение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природных ресурсов",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"Затраты на освоение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новых производств"   </w:t>
            </w:r>
          </w:p>
        </w:tc>
      </w:tr>
      <w:tr w:rsidR="00DE141C" w:rsidRPr="00DE141C" w:rsidTr="00517CF6">
        <w:trPr>
          <w:cantSplit/>
          <w:trHeight w:val="26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C436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Отложенные расходы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прошлых лет.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примеру: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лишь для </w:t>
            </w:r>
            <w:proofErr w:type="spell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избежания</w:t>
            </w:r>
            <w:proofErr w:type="spell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убытка в одном периоде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часть обычных расходов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"спрятана" на счет 97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как расход будущих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периодов;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отнесли убыток </w:t>
            </w:r>
            <w:r w:rsidR="00C4360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т продажи основного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средства на счет 97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его равномерного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списания до истечения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срока полезного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использования ОС;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- какие-то затраты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списываются через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счет 97 для сближе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налоговым учетом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Такие затраты не должны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учитываться как РБП.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Их надо списать. Вариантов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списания несколько: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как расходы текущего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периода;    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как несвоевременно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учтенные ранее расходы,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 есть вы признаете свою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ошибку &lt;36&gt;: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(если) сумма существенная -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исправлять ошибку надо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используя счет 84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"Нераспределенная прибыль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(непокрытый убыток)" (и надо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сделать ретроспективный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пересчет);  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(если) сумма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несущественная - списываем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счет 91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(если) расходы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признаем текущим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периодом как прочие -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отражаем их по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строке 2350 "Прочие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расходы" Отчета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о прибылях и убытках;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(если) вы списываете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расходы со счета 97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ходе исправления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существенной ошибки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прошлых лет - надо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заполнить разд. 2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"Корректировки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связи с изменением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учетной политики и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исправлением ошибок"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Отчета об изменениях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капитала      </w:t>
            </w:r>
            <w:proofErr w:type="gramEnd"/>
          </w:p>
        </w:tc>
      </w:tr>
      <w:tr w:rsidR="00DE141C" w:rsidRPr="00DE141C" w:rsidTr="00517CF6">
        <w:trPr>
          <w:cantSplit/>
          <w:trHeight w:val="19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ремонт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основных средств     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C436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ремонт основных средств надо </w:t>
            </w:r>
            <w:r w:rsidR="00C4360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ризнавать</w:t>
            </w:r>
            <w:r w:rsidR="00C436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в текущих расходах.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Никакого отношения</w:t>
            </w:r>
            <w:r w:rsidR="00C436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к следующим отчетным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периодам они не имеют.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Ни одно ПБУ прямо не подтверждает возможность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учета расходов на ремонт</w:t>
            </w:r>
            <w:r w:rsidR="00C436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в качестве РБП.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Недосписанные</w:t>
            </w:r>
            <w:proofErr w:type="spell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суммы можно</w:t>
            </w:r>
            <w:r w:rsidR="00C436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учесть в текущих расходах сразу. С 01.01.2011</w:t>
            </w:r>
            <w:r w:rsidR="00C436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не должно быть и резервов на ремонт ОС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0D12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В зависимости</w:t>
            </w:r>
            <w:r w:rsidR="000D12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от характера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использования ОС в Отчете о прибылях и убытках</w:t>
            </w:r>
            <w:r w:rsidR="000D12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списанные суммы расходов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попадут: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в строку 2120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"Себестоимость продаж";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в строку 2220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"Управленческие расходы"             </w:t>
            </w:r>
          </w:p>
        </w:tc>
      </w:tr>
      <w:tr w:rsidR="00DE141C" w:rsidRPr="00DE141C" w:rsidTr="00517CF6">
        <w:trPr>
          <w:cantSplit/>
          <w:trHeight w:val="26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Часть отпускных,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приходящихся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следующий месяц    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8F39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Выплаченные отпускные надо признавать сразу. Ведь сумма</w:t>
            </w:r>
            <w:r w:rsidR="008F3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расхода определена, она обоснованна, и </w:t>
            </w:r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выплата </w:t>
            </w:r>
            <w:r w:rsidR="008F39F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регулируется Трудовым кодексом. Кроме того, по правилам нового</w:t>
            </w:r>
            <w:r w:rsidR="008F3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ПБУ 8/2010 "Оценочные обязательства, условные</w:t>
            </w:r>
            <w:r w:rsidR="008F39FB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бязательства и условные</w:t>
            </w:r>
            <w:r w:rsidR="008F3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активы" (оно не распространяется на малые</w:t>
            </w:r>
            <w:r w:rsidR="008F3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предприятия) отпускные надо списывать за счет оценочного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 на оплату</w:t>
            </w:r>
            <w:r w:rsidR="008F39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отпускных, учитываемого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счете 96 "Резервы предстоящих расходов".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Следовательно, со счета 97 отпускные надо списать на текущие расходы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CB487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В зависимости от подразделения,</w:t>
            </w:r>
            <w:r w:rsidR="00CB48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где трудятся ушедшие в отпуск работники,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в Отчете о прибылях</w:t>
            </w:r>
            <w:r w:rsidR="00CB48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и убытках списанные </w:t>
            </w:r>
            <w:r w:rsidR="00CB487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уммы расходов попадут: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в строку 2120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"Себестоимость</w:t>
            </w:r>
            <w:r w:rsidR="00CB48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продаж";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в строку 2210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"Коммерческие расходы";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в строку 2220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"Управленческие расходы"             </w:t>
            </w:r>
          </w:p>
        </w:tc>
      </w:tr>
      <w:tr w:rsidR="00DE141C" w:rsidRPr="00DE141C" w:rsidTr="00DE0359">
        <w:trPr>
          <w:cantSplit/>
          <w:trHeight w:val="204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9700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Минфин рекомендует в налоговом учете делить переходящие суммы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тпускных между двумя месяцами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. Поэтому, используя счет 97, бухгалтеры сближают бухгалтерский учет с </w:t>
            </w:r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налоговым</w:t>
            </w:r>
            <w:proofErr w:type="gram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.                 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В противовес тому, что под отпускные надо создавать резерв, некоторые</w:t>
            </w:r>
            <w:r w:rsidR="00CB48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бухгалтеры уже заявляют, что ПБУ 8/2010 никакого отношения к отпускным</w:t>
            </w:r>
            <w:r w:rsidR="00CB48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иметь не может. Ведь по правилам ПБУ 8/2010 оно не может применяться к договорам, по которым не выполнены все обязательства сторон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А трудовые договоры, на основе которых считаются отпускные, как раз подходят под это определение. Тем самым бухгалтеры считают, что они нашли</w:t>
            </w:r>
            <w:r w:rsidR="00CB4877">
              <w:rPr>
                <w:rFonts w:ascii="Times New Roman" w:hAnsi="Times New Roman" w:cs="Times New Roman"/>
                <w:sz w:val="22"/>
                <w:szCs w:val="22"/>
              </w:rPr>
              <w:t xml:space="preserve"> л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азейку для того, чтобы не создавать оценочное обязательство по отпускам.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Однако специалисты Минфина против такого подхода и настаивают на том, </w:t>
            </w:r>
            <w:r w:rsidR="009700C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то в бухучете надо отражать оценочное обязательство на выплату отпускных</w:t>
            </w:r>
            <w:proofErr w:type="gramStart"/>
            <w:r w:rsidR="009700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тому же есть проект следующего нового ПБУ "Учет вознаграждений  работникам". И в нем четко прописано, как надо создавать оценочное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обязательство (то есть резерв на оплату отпусков) и когда                </w:t>
            </w:r>
          </w:p>
        </w:tc>
      </w:tr>
      <w:tr w:rsidR="00DE141C" w:rsidRPr="00DE141C" w:rsidTr="00517CF6">
        <w:trPr>
          <w:cantSplit/>
          <w:trHeight w:val="3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0359" w:rsidP="00DE0359">
            <w:pPr>
              <w:pStyle w:val="ConsPlusCell"/>
              <w:widowControl/>
              <w:ind w:left="-7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взносы вносы в СРО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Членство в СРО бессрочное,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передать его </w:t>
            </w:r>
            <w:proofErr w:type="gramStart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другому</w:t>
            </w:r>
            <w:proofErr w:type="gramEnd"/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(продать) нельзя. Уплата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взносов в компенсационный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фонд (несмотря на довольно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внушительный размер -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300 тыс. до 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) вполне подходит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 определение расходов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6A36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(если) расходы признаем текущим периодом: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как прочие -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отражаем их</w:t>
            </w:r>
            <w:r w:rsidR="009700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по строке 2350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"Прочие расходы"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Отчета о прибылях и убытках;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(или) как обычные</w:t>
            </w:r>
            <w:r w:rsidR="009700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производственные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расходы </w:t>
            </w:r>
            <w:r w:rsidR="009700C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отражаем</w:t>
            </w:r>
            <w:r w:rsidR="009700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по строке 2120 "Себестоимость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продаж" Отчета</w:t>
            </w:r>
            <w:r w:rsidR="006A36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о прибылях и убытках;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(если) вы списываете</w:t>
            </w:r>
            <w:r w:rsidR="006A360C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асходы со счета 97</w:t>
            </w:r>
            <w:r w:rsidR="006A36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в ходе исправления существенной ошибки прошлых лет - надо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заполнить разд. 2</w:t>
            </w:r>
            <w:r w:rsidR="006A36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>"Корректировки в связи с изменением учетной политики и исправлением ошибок"</w:t>
            </w:r>
            <w:r w:rsidR="006A36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Отчета об изменениях капитала &lt;43&gt;        </w:t>
            </w:r>
          </w:p>
        </w:tc>
      </w:tr>
      <w:tr w:rsidR="00DE141C" w:rsidRPr="00DE141C" w:rsidTr="00DE0359">
        <w:trPr>
          <w:cantSplit/>
          <w:trHeight w:val="36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6A360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E141C">
              <w:rPr>
                <w:rFonts w:ascii="Times New Roman" w:hAnsi="Times New Roman" w:cs="Times New Roman"/>
              </w:rPr>
              <w:t>По мнению Минфина России, при расчете налога на прибыль расходы на уплату</w:t>
            </w:r>
            <w:r w:rsidRPr="00DE141C">
              <w:rPr>
                <w:rFonts w:ascii="Times New Roman" w:hAnsi="Times New Roman" w:cs="Times New Roman"/>
              </w:rPr>
              <w:br/>
              <w:t xml:space="preserve">взносов в СРО можно и нужно учитывать единовременно    </w:t>
            </w:r>
            <w:r w:rsidR="00741F0A" w:rsidRPr="00741F0A">
              <w:rPr>
                <w:rFonts w:ascii="Times New Roman" w:hAnsi="Times New Roman" w:cs="Times New Roman"/>
              </w:rPr>
              <w:t>(</w:t>
            </w:r>
            <w:hyperlink r:id="rId6" w:history="1">
              <w:r w:rsidR="00741F0A" w:rsidRPr="00741F0A">
                <w:rPr>
                  <w:rFonts w:ascii="Times New Roman" w:hAnsi="Times New Roman" w:cs="Times New Roman"/>
                  <w:i/>
                  <w:iCs/>
                </w:rPr>
                <w:t>Письмо</w:t>
              </w:r>
            </w:hyperlink>
            <w:r w:rsidR="00741F0A" w:rsidRPr="00741F0A">
              <w:rPr>
                <w:rFonts w:ascii="Times New Roman" w:hAnsi="Times New Roman" w:cs="Times New Roman"/>
                <w:i/>
                <w:iCs/>
              </w:rPr>
              <w:t xml:space="preserve"> Минфина России от 11.02.2010 N 03-03-06/1/63; </w:t>
            </w:r>
            <w:hyperlink r:id="rId7" w:history="1">
              <w:proofErr w:type="spellStart"/>
              <w:r w:rsidR="00741F0A" w:rsidRPr="00741F0A">
                <w:rPr>
                  <w:rFonts w:ascii="Times New Roman" w:hAnsi="Times New Roman" w:cs="Times New Roman"/>
                  <w:i/>
                  <w:iCs/>
                </w:rPr>
                <w:t>пп</w:t>
              </w:r>
              <w:proofErr w:type="spellEnd"/>
              <w:r w:rsidR="00741F0A" w:rsidRPr="00741F0A">
                <w:rPr>
                  <w:rFonts w:ascii="Times New Roman" w:hAnsi="Times New Roman" w:cs="Times New Roman"/>
                  <w:i/>
                  <w:iCs/>
                </w:rPr>
                <w:t>. 3 п. 7 ст. 272</w:t>
              </w:r>
            </w:hyperlink>
            <w:r w:rsidR="00741F0A" w:rsidRPr="00741F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hyperlink r:id="rId8" w:history="1">
              <w:proofErr w:type="spellStart"/>
              <w:r w:rsidR="00741F0A" w:rsidRPr="00741F0A">
                <w:rPr>
                  <w:rFonts w:ascii="Times New Roman" w:hAnsi="Times New Roman" w:cs="Times New Roman"/>
                  <w:i/>
                  <w:iCs/>
                </w:rPr>
                <w:t>пп</w:t>
              </w:r>
              <w:proofErr w:type="spellEnd"/>
              <w:r w:rsidR="00741F0A" w:rsidRPr="00741F0A">
                <w:rPr>
                  <w:rFonts w:ascii="Times New Roman" w:hAnsi="Times New Roman" w:cs="Times New Roman"/>
                  <w:i/>
                  <w:iCs/>
                </w:rPr>
                <w:t>. 29 п. 1 ст. 264</w:t>
              </w:r>
            </w:hyperlink>
            <w:r w:rsidR="00741F0A" w:rsidRPr="00741F0A">
              <w:rPr>
                <w:rFonts w:ascii="Times New Roman" w:hAnsi="Times New Roman" w:cs="Times New Roman"/>
                <w:i/>
                <w:iCs/>
              </w:rPr>
              <w:t xml:space="preserve"> НК Р</w:t>
            </w:r>
            <w:r w:rsidR="00741F0A">
              <w:rPr>
                <w:rFonts w:ascii="Times New Roman" w:hAnsi="Times New Roman" w:cs="Times New Roman"/>
                <w:i/>
                <w:iCs/>
              </w:rPr>
              <w:t>Ф).</w:t>
            </w:r>
            <w:r w:rsidRPr="00DE141C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DE141C" w:rsidRPr="00DE141C" w:rsidTr="00834F24">
        <w:trPr>
          <w:cantSplit/>
          <w:trHeight w:val="34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Расходы на получение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лицензии на тот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иной вид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У лицензии есть срок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действия, но продать ее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кому-то другому нельзя.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Так что это - расход. К тому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же в большинстве случаев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лицензии состоит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одной лишь уплаченной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при ее получении госпошлины,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и часто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ее сумма - всего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2600 руб.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 Так что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растягивать на несколько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лет стоимость лицензии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смысла нет - только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усложните себе жизнь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прибавите работы         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41C" w:rsidRPr="00DE141C" w:rsidRDefault="00DE141C" w:rsidP="00D920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(если) расходы признаем текущим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периодом: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как прочие - отражаем их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строке 2350 "Прочие расходы"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Отчета о прибылях и убытках;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(или) как обычные производственные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расходы - отражаем  по строке 2120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"Себестоимость продаж" Отчета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о прибылях и убытках;</w:t>
            </w:r>
            <w:r w:rsidR="00834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(если) вы списываете </w:t>
            </w:r>
            <w:r w:rsidR="00D920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расходы со счета 97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в ходе исправления</w:t>
            </w:r>
            <w:r w:rsidR="00D920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существенной ошибки прошлых лет - надо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>заполнить разд. 2</w:t>
            </w:r>
            <w:r w:rsidR="00D920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"Корректировки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связи с изменением учетной политики и исправлением ошибок" Отчета об изменениях капитала         </w:t>
            </w:r>
          </w:p>
        </w:tc>
      </w:tr>
      <w:tr w:rsidR="00DE141C" w:rsidRPr="00DE141C" w:rsidTr="00DE0359">
        <w:trPr>
          <w:cantSplit/>
          <w:trHeight w:val="192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F0A" w:rsidRDefault="00DE141C" w:rsidP="00741F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E141C">
              <w:rPr>
                <w:rFonts w:ascii="Times New Roman" w:hAnsi="Times New Roman" w:cs="Times New Roman"/>
              </w:rPr>
              <w:t xml:space="preserve">Если же лицензия дорогая и стоит несколько миллионов рублей (скажем,     </w:t>
            </w:r>
            <w:r w:rsidRPr="00DE141C">
              <w:rPr>
                <w:rFonts w:ascii="Times New Roman" w:hAnsi="Times New Roman" w:cs="Times New Roman"/>
              </w:rPr>
              <w:br/>
              <w:t xml:space="preserve">госпошлина за лицензию на производство этилового спирта, которая         </w:t>
            </w:r>
            <w:r w:rsidRPr="00DE141C">
              <w:rPr>
                <w:rFonts w:ascii="Times New Roman" w:hAnsi="Times New Roman" w:cs="Times New Roman"/>
              </w:rPr>
              <w:br/>
              <w:t xml:space="preserve">обойдется в 6 </w:t>
            </w:r>
            <w:proofErr w:type="spellStart"/>
            <w:proofErr w:type="gramStart"/>
            <w:r w:rsidRPr="00DE141C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  <w:r w:rsidRPr="00DE141C">
              <w:rPr>
                <w:rFonts w:ascii="Times New Roman" w:hAnsi="Times New Roman" w:cs="Times New Roman"/>
              </w:rPr>
              <w:t xml:space="preserve"> руб., то мож</w:t>
            </w:r>
            <w:r w:rsidR="00DE0359">
              <w:rPr>
                <w:rFonts w:ascii="Times New Roman" w:hAnsi="Times New Roman" w:cs="Times New Roman"/>
              </w:rPr>
              <w:t>но</w:t>
            </w:r>
            <w:r w:rsidRPr="00DE141C">
              <w:rPr>
                <w:rFonts w:ascii="Times New Roman" w:hAnsi="Times New Roman" w:cs="Times New Roman"/>
              </w:rPr>
              <w:t xml:space="preserve"> вспомнить, что такие   </w:t>
            </w:r>
            <w:r w:rsidRPr="00DE141C">
              <w:rPr>
                <w:rFonts w:ascii="Times New Roman" w:hAnsi="Times New Roman" w:cs="Times New Roman"/>
              </w:rPr>
              <w:br/>
              <w:t xml:space="preserve">затраты упоминаются в </w:t>
            </w:r>
            <w:hyperlink r:id="rId9" w:history="1"/>
            <w:r w:rsidR="00741F0A">
              <w:rPr>
                <w:rFonts w:ascii="Times New Roman" w:hAnsi="Times New Roman" w:cs="Times New Roman"/>
              </w:rPr>
              <w:t xml:space="preserve"> Методических указаниях по формированию бухгалтерской отчетности при осуществлении реорганизации организаций, утв. Приказом Минфина России от 20.05.2003 N 44н.</w:t>
            </w:r>
          </w:p>
          <w:p w:rsidR="00DE141C" w:rsidRDefault="00DE141C" w:rsidP="00DE14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в качестве РБП.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тогда, если вы будете списывать их равномерно, к вам не должно быть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претензий со стороны проверяющих (ведь вы руководствовались действующим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1F0A">
              <w:rPr>
                <w:rFonts w:ascii="Times New Roman" w:hAnsi="Times New Roman" w:cs="Times New Roman"/>
                <w:sz w:val="22"/>
                <w:szCs w:val="22"/>
              </w:rPr>
              <w:t>нормативным документом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t xml:space="preserve">).                                                                   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 признании стоимости лицензий в налоговом учете есть две точки зрения </w:t>
            </w:r>
            <w:r w:rsidRPr="00DE14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(причем обе они подкрепляются письмами Минфина). </w:t>
            </w:r>
          </w:p>
          <w:p w:rsidR="00DE141C" w:rsidRPr="00DE141C" w:rsidRDefault="00DE141C" w:rsidP="00D920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E141C">
              <w:rPr>
                <w:rFonts w:ascii="Times New Roman" w:hAnsi="Times New Roman" w:cs="Times New Roman"/>
              </w:rPr>
              <w:t xml:space="preserve">Учитывая серьезные аргументы, приводимые Минфином в защиту               </w:t>
            </w:r>
            <w:r w:rsidRPr="00DE141C">
              <w:rPr>
                <w:rFonts w:ascii="Times New Roman" w:hAnsi="Times New Roman" w:cs="Times New Roman"/>
              </w:rPr>
              <w:br/>
              <w:t xml:space="preserve">единовременного признания стоимости лицензий в налоговых расходах,       </w:t>
            </w:r>
            <w:r w:rsidRPr="00DE141C">
              <w:rPr>
                <w:rFonts w:ascii="Times New Roman" w:hAnsi="Times New Roman" w:cs="Times New Roman"/>
              </w:rPr>
              <w:br/>
              <w:t xml:space="preserve">вы можете руководствоваться именно ими. К тому же, даже если проверяющие </w:t>
            </w:r>
            <w:r w:rsidRPr="00DE141C">
              <w:rPr>
                <w:rFonts w:ascii="Times New Roman" w:hAnsi="Times New Roman" w:cs="Times New Roman"/>
              </w:rPr>
              <w:br/>
              <w:t xml:space="preserve">не будут согласны с вашим подходом, от штрафов и пеней ссылка на Письма  </w:t>
            </w:r>
            <w:r w:rsidRPr="00DE141C">
              <w:rPr>
                <w:rFonts w:ascii="Times New Roman" w:hAnsi="Times New Roman" w:cs="Times New Roman"/>
              </w:rPr>
              <w:br/>
              <w:t xml:space="preserve">Минфина вас убережет  </w:t>
            </w:r>
            <w:r w:rsidR="00741F0A">
              <w:rPr>
                <w:rFonts w:ascii="Times New Roman" w:hAnsi="Times New Roman" w:cs="Times New Roman"/>
              </w:rPr>
              <w:t>(</w:t>
            </w:r>
            <w:hyperlink r:id="rId10" w:history="1">
              <w:r w:rsidR="00741F0A" w:rsidRPr="00741F0A">
                <w:rPr>
                  <w:rFonts w:ascii="Times New Roman" w:hAnsi="Times New Roman" w:cs="Times New Roman"/>
                </w:rPr>
                <w:t>Подпункт 3 п. 1 ст. 111</w:t>
              </w:r>
            </w:hyperlink>
            <w:r w:rsidR="00741F0A" w:rsidRPr="00741F0A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="00741F0A" w:rsidRPr="00741F0A">
                <w:rPr>
                  <w:rFonts w:ascii="Times New Roman" w:hAnsi="Times New Roman" w:cs="Times New Roman"/>
                </w:rPr>
                <w:t>п. 8 ст. 75</w:t>
              </w:r>
            </w:hyperlink>
            <w:r w:rsidR="00741F0A" w:rsidRPr="00741F0A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741F0A" w:rsidRPr="00741F0A">
                <w:rPr>
                  <w:rFonts w:ascii="Times New Roman" w:hAnsi="Times New Roman" w:cs="Times New Roman"/>
                </w:rPr>
                <w:t>п. 1 ст. 34.2</w:t>
              </w:r>
            </w:hyperlink>
            <w:r w:rsidR="00741F0A" w:rsidRPr="00741F0A">
              <w:rPr>
                <w:rFonts w:ascii="Times New Roman" w:hAnsi="Times New Roman" w:cs="Times New Roman"/>
              </w:rPr>
              <w:t xml:space="preserve"> НК РФ; </w:t>
            </w:r>
            <w:hyperlink r:id="rId13" w:history="1">
              <w:r w:rsidR="00741F0A" w:rsidRPr="00741F0A">
                <w:rPr>
                  <w:rFonts w:ascii="Times New Roman" w:hAnsi="Times New Roman" w:cs="Times New Roman"/>
                </w:rPr>
                <w:t>Письмо</w:t>
              </w:r>
            </w:hyperlink>
            <w:r w:rsidR="00741F0A">
              <w:rPr>
                <w:rFonts w:ascii="Times New Roman" w:hAnsi="Times New Roman" w:cs="Times New Roman"/>
              </w:rPr>
              <w:t xml:space="preserve"> Минфина России от 24.02.2010 N 03-04-05/10-67)</w:t>
            </w:r>
            <w:r w:rsidRPr="00DE141C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</w:tc>
      </w:tr>
    </w:tbl>
    <w:p w:rsidR="00DE141C" w:rsidRPr="00DE141C" w:rsidRDefault="00DE14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DE141C" w:rsidRPr="00DE141C" w:rsidRDefault="00DE1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E141C" w:rsidRPr="00DE141C" w:rsidRDefault="00DE1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08E8" w:rsidRPr="00DE141C" w:rsidRDefault="006008E8">
      <w:pPr>
        <w:rPr>
          <w:rFonts w:ascii="Times New Roman" w:hAnsi="Times New Roman" w:cs="Times New Roman"/>
        </w:rPr>
      </w:pPr>
    </w:p>
    <w:sectPr w:rsidR="006008E8" w:rsidRPr="00DE141C" w:rsidSect="006A360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41C"/>
    <w:rsid w:val="00016111"/>
    <w:rsid w:val="00040FF9"/>
    <w:rsid w:val="0009115D"/>
    <w:rsid w:val="000D1230"/>
    <w:rsid w:val="00121CAA"/>
    <w:rsid w:val="00131A4F"/>
    <w:rsid w:val="00157B62"/>
    <w:rsid w:val="00184AC7"/>
    <w:rsid w:val="00186D89"/>
    <w:rsid w:val="001B6F8A"/>
    <w:rsid w:val="001E4E33"/>
    <w:rsid w:val="002B54F3"/>
    <w:rsid w:val="00306E3D"/>
    <w:rsid w:val="00351D24"/>
    <w:rsid w:val="0036075B"/>
    <w:rsid w:val="004002B6"/>
    <w:rsid w:val="00424AB9"/>
    <w:rsid w:val="00440771"/>
    <w:rsid w:val="0045377B"/>
    <w:rsid w:val="00461D66"/>
    <w:rsid w:val="00494799"/>
    <w:rsid w:val="00497889"/>
    <w:rsid w:val="00502017"/>
    <w:rsid w:val="00517CF6"/>
    <w:rsid w:val="00533C5D"/>
    <w:rsid w:val="005D515A"/>
    <w:rsid w:val="006008E8"/>
    <w:rsid w:val="00633DD7"/>
    <w:rsid w:val="0066002A"/>
    <w:rsid w:val="006A360C"/>
    <w:rsid w:val="00713E45"/>
    <w:rsid w:val="00741F0A"/>
    <w:rsid w:val="00781ADB"/>
    <w:rsid w:val="007D0243"/>
    <w:rsid w:val="007F3F66"/>
    <w:rsid w:val="00834F24"/>
    <w:rsid w:val="0084553D"/>
    <w:rsid w:val="0087420B"/>
    <w:rsid w:val="008C5B5C"/>
    <w:rsid w:val="008E43BB"/>
    <w:rsid w:val="008F39FB"/>
    <w:rsid w:val="0092679D"/>
    <w:rsid w:val="009700C7"/>
    <w:rsid w:val="009C51D1"/>
    <w:rsid w:val="00A57A2A"/>
    <w:rsid w:val="00A74A7C"/>
    <w:rsid w:val="00A801D6"/>
    <w:rsid w:val="00AB0875"/>
    <w:rsid w:val="00B1095B"/>
    <w:rsid w:val="00B30903"/>
    <w:rsid w:val="00B810C5"/>
    <w:rsid w:val="00C11A2A"/>
    <w:rsid w:val="00C30276"/>
    <w:rsid w:val="00C4360A"/>
    <w:rsid w:val="00C57248"/>
    <w:rsid w:val="00C729A7"/>
    <w:rsid w:val="00CB4877"/>
    <w:rsid w:val="00CC60E2"/>
    <w:rsid w:val="00D84F4A"/>
    <w:rsid w:val="00D9204D"/>
    <w:rsid w:val="00DA4764"/>
    <w:rsid w:val="00DC5DE6"/>
    <w:rsid w:val="00DE0359"/>
    <w:rsid w:val="00DE141C"/>
    <w:rsid w:val="00E336F8"/>
    <w:rsid w:val="00F17AA0"/>
    <w:rsid w:val="00F25578"/>
    <w:rsid w:val="00F71273"/>
    <w:rsid w:val="00F7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1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13;fld=134;dst=102239" TargetMode="External"/><Relationship Id="rId13" Type="http://schemas.openxmlformats.org/officeDocument/2006/relationships/hyperlink" Target="consultantplus://offline/main?base=QUEST;n=7937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313;fld=134;dst=3069" TargetMode="External"/><Relationship Id="rId12" Type="http://schemas.openxmlformats.org/officeDocument/2006/relationships/hyperlink" Target="consultantplus://offline/main?base=LAW;n=108642;fld=134;dst=10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QUEST;n=78857;fld=134" TargetMode="External"/><Relationship Id="rId11" Type="http://schemas.openxmlformats.org/officeDocument/2006/relationships/hyperlink" Target="consultantplus://offline/main?base=LAW;n=108642;fld=134;dst=487" TargetMode="External"/><Relationship Id="rId5" Type="http://schemas.openxmlformats.org/officeDocument/2006/relationships/hyperlink" Target="consultantplus://offline/main?base=LAW;n=107972;fld=134;dst=102523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305;fld=134;dst=1000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BF50-E77D-46FA-A355-4ED6FB1B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Горячих</dc:creator>
  <cp:keywords/>
  <dc:description/>
  <cp:lastModifiedBy>Admin</cp:lastModifiedBy>
  <cp:revision>4</cp:revision>
  <cp:lastPrinted>2012-12-17T12:51:00Z</cp:lastPrinted>
  <dcterms:created xsi:type="dcterms:W3CDTF">2011-09-22T10:38:00Z</dcterms:created>
  <dcterms:modified xsi:type="dcterms:W3CDTF">2012-12-17T12:51:00Z</dcterms:modified>
</cp:coreProperties>
</file>