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62B" w:rsidRPr="00933BEA" w:rsidRDefault="004B662B" w:rsidP="004B662B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4B662B" w:rsidRDefault="004B662B" w:rsidP="004B662B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4B662B" w:rsidRPr="00933BEA" w:rsidRDefault="004B662B" w:rsidP="004B662B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4B662B" w:rsidRDefault="004B662B" w:rsidP="004B662B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D8C6C6" wp14:editId="354E611D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FE092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4B662B" w:rsidRDefault="004B662B" w:rsidP="004B662B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4B662B" w:rsidRDefault="004B662B" w:rsidP="004B662B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4B662B" w:rsidRDefault="004B662B" w:rsidP="004B662B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телефон 8-8332-414139                                     к/с 30101810100000000711, БИК 043304711</w:t>
      </w:r>
    </w:p>
    <w:p w:rsidR="004B662B" w:rsidRDefault="004B662B" w:rsidP="004B662B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4B662B" w:rsidRDefault="004B662B" w:rsidP="004B662B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2B0AB1" w:rsidRDefault="002B0AB1" w:rsidP="002B0AB1">
      <w:pPr>
        <w:pStyle w:val="a8"/>
        <w:spacing w:line="36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Тема «Формирование учетной политики учреждений на 2027 год</w:t>
      </w:r>
    </w:p>
    <w:p w:rsidR="002B0AB1" w:rsidRDefault="002B0AB1" w:rsidP="002B0AB1">
      <w:pPr>
        <w:pStyle w:val="a8"/>
        <w:spacing w:line="36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(с учетом новых требований к внутреннему контролю)»</w:t>
      </w:r>
    </w:p>
    <w:p w:rsidR="002B0AB1" w:rsidRDefault="002B0AB1" w:rsidP="002B0AB1">
      <w:pPr>
        <w:pStyle w:val="a8"/>
        <w:spacing w:line="360" w:lineRule="auto"/>
        <w:ind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ОНЛАЙН: 15 декабря 2026 г.</w:t>
      </w:r>
    </w:p>
    <w:p w:rsidR="002B0AB1" w:rsidRDefault="002B0AB1" w:rsidP="002B0AB1">
      <w:pPr>
        <w:pStyle w:val="a8"/>
        <w:spacing w:line="360" w:lineRule="auto"/>
        <w:ind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10.00 до 17.00 часов (МСК)</w:t>
      </w:r>
    </w:p>
    <w:p w:rsidR="002B0AB1" w:rsidRPr="007A1784" w:rsidRDefault="002B0AB1" w:rsidP="002B0AB1">
      <w:pPr>
        <w:tabs>
          <w:tab w:val="left" w:pos="3402"/>
        </w:tabs>
        <w:spacing w:line="240" w:lineRule="auto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5C0557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ЛЕКТОР</w:t>
      </w:r>
      <w:r w:rsidRPr="005C0557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5C0557">
        <w:rPr>
          <w:rFonts w:ascii="Times New Roman" w:hAnsi="Times New Roman" w:cs="Times New Roman"/>
          <w:b/>
          <w:sz w:val="28"/>
          <w:szCs w:val="28"/>
          <w:lang w:val="ru-RU"/>
        </w:rPr>
        <w:t>ОПАЛЬСКИЙ Александр Юрьевич</w:t>
      </w:r>
      <w:r w:rsidRPr="005C055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7A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преподаватель кафедры учета, анализа и аудита МГУ, аттестованный преподаватель ИПБР по программам «Профессиональный бухгалтер бюджетных учреждений», «Бухгалтерский учет в бюджетных учреждениях», автор книг и статей, посвященных бухгалтерскому учету и отчетности в бюджетных учреждениях.</w:t>
      </w:r>
    </w:p>
    <w:p w:rsidR="002B0AB1" w:rsidRPr="00066F7C" w:rsidRDefault="002B0AB1" w:rsidP="002B0AB1">
      <w:pPr>
        <w:tabs>
          <w:tab w:val="left" w:pos="3402"/>
        </w:tabs>
        <w:spacing w:line="240" w:lineRule="auto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2B0AB1" w:rsidRDefault="002B0AB1" w:rsidP="002B0AB1">
      <w:pPr>
        <w:spacing w:line="240" w:lineRule="auto"/>
        <w:jc w:val="center"/>
        <w:rPr>
          <w:rFonts w:ascii="Arial" w:hAnsi="Arial" w:cs="Arial"/>
          <w:b/>
          <w:i/>
          <w:sz w:val="20"/>
          <w:szCs w:val="20"/>
          <w:lang w:val="ru-RU"/>
        </w:rPr>
      </w:pPr>
      <w:r w:rsidRPr="002147B1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ВЕБИНАРА:</w:t>
      </w:r>
    </w:p>
    <w:p w:rsidR="002B0AB1" w:rsidRPr="00A55D2D" w:rsidRDefault="002B0AB1" w:rsidP="002B0AB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  <w:lang w:val="ru-RU"/>
        </w:rPr>
      </w:pPr>
      <w:r w:rsidRPr="00A55D2D">
        <w:rPr>
          <w:rFonts w:ascii="Arial" w:hAnsi="Arial" w:cs="Arial"/>
          <w:b/>
          <w:i/>
          <w:sz w:val="24"/>
          <w:szCs w:val="24"/>
          <w:lang w:val="ru-RU"/>
        </w:rPr>
        <w:t>(в программе возможны дополнения в связи с изменениями законодательства)</w:t>
      </w:r>
    </w:p>
    <w:p w:rsidR="002B0AB1" w:rsidRPr="00C17705" w:rsidRDefault="002B0AB1" w:rsidP="002B0AB1">
      <w:pPr>
        <w:spacing w:line="240" w:lineRule="auto"/>
        <w:jc w:val="center"/>
        <w:rPr>
          <w:rFonts w:ascii="Arial" w:hAnsi="Arial" w:cs="Arial"/>
          <w:i/>
          <w:sz w:val="20"/>
          <w:szCs w:val="20"/>
          <w:lang w:val="ru-RU"/>
        </w:rPr>
      </w:pPr>
    </w:p>
    <w:p w:rsidR="002B0AB1" w:rsidRPr="008A302D" w:rsidRDefault="002B0AB1" w:rsidP="002B0AB1">
      <w:pPr>
        <w:spacing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8A302D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При формировании учетной политики на 2027 необходимо не только учитывать отмену инструкций по учету и замену их на новые Федеральные стандарты, но и </w:t>
      </w:r>
      <w:r w:rsidRPr="008A302D"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val="ru-RU"/>
        </w:rPr>
        <w:t>новые обязательные требования к внутреннему контролю</w:t>
      </w:r>
      <w:r w:rsidRPr="008A302D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(Приказ Минфина России от 14.02.2025 </w:t>
      </w:r>
      <w:r w:rsidRPr="008A302D">
        <w:rPr>
          <w:rFonts w:ascii="Times New Roman" w:hAnsi="Times New Roman" w:cs="Times New Roman"/>
          <w:iCs/>
          <w:sz w:val="28"/>
          <w:szCs w:val="28"/>
        </w:rPr>
        <w:t>N</w:t>
      </w:r>
      <w:r w:rsidRPr="008A302D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15н). Что конкретно нужно прописать в учетной политике по каждому объекту учета будет рассматриваться в рамках данного семинара. Семинар предназначен для главных бухгалтеров учреждений всех типов, а также специалистов централизованных бухгалтерий. По результатам семинара предоставляется образец учетной политики для бюджетных (автономных) и казенных учреждений.</w:t>
      </w:r>
    </w:p>
    <w:p w:rsidR="002B0AB1" w:rsidRPr="008A302D" w:rsidRDefault="002B0AB1" w:rsidP="002B0AB1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2B0AB1" w:rsidRPr="008A302D" w:rsidRDefault="002B0AB1" w:rsidP="002B0AB1">
      <w:pPr>
        <w:pStyle w:val="a7"/>
        <w:numPr>
          <w:ilvl w:val="0"/>
          <w:numId w:val="21"/>
        </w:numPr>
        <w:spacing w:line="240" w:lineRule="auto"/>
        <w:ind w:left="0" w:firstLine="284"/>
        <w:rPr>
          <w:rFonts w:ascii="Times New Roman" w:hAnsi="Times New Roman"/>
          <w:b/>
          <w:bCs/>
          <w:sz w:val="28"/>
          <w:szCs w:val="28"/>
        </w:rPr>
      </w:pPr>
      <w:r w:rsidRPr="008A302D">
        <w:rPr>
          <w:rFonts w:ascii="Times New Roman" w:hAnsi="Times New Roman"/>
          <w:b/>
          <w:bCs/>
          <w:sz w:val="28"/>
          <w:szCs w:val="28"/>
        </w:rPr>
        <w:t>Место и роль учетной политики в регулировании учета в учреждениях государственного сектора.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Нормативно-правовая база формирования учетной политики государственного (муниципального) учреждения: требования Федерального закона № 402-ФЗ «О бухгалтерском учете» и СГС «Концептуальные основы бухгалтерского учета и отчетности организаций государственного сектора».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Организационный и методический раздел учетной политики учреждения; требования к составу и структуре учетной политики.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СГС «Учетная политика, оценочные значения и ошибки». Общие подходы к формированию и утверждению учетной политики учреждения.</w:t>
      </w:r>
    </w:p>
    <w:p w:rsidR="002B0AB1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Особенности формирования учетной политики в случае, если учреждение обслуживается в централизованной бухгалтерии. </w:t>
      </w:r>
    </w:p>
    <w:p w:rsidR="002B0AB1" w:rsidRPr="002B0AB1" w:rsidRDefault="002B0AB1" w:rsidP="002B0AB1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B0AB1" w:rsidRPr="002B0AB1" w:rsidRDefault="002B0AB1" w:rsidP="002B0AB1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B0AB1" w:rsidRPr="008A302D" w:rsidRDefault="002B0AB1" w:rsidP="002B0AB1">
      <w:pPr>
        <w:pStyle w:val="a7"/>
        <w:numPr>
          <w:ilvl w:val="0"/>
          <w:numId w:val="21"/>
        </w:numPr>
        <w:spacing w:line="240" w:lineRule="auto"/>
        <w:ind w:left="0" w:firstLine="284"/>
        <w:rPr>
          <w:rFonts w:ascii="Times New Roman" w:hAnsi="Times New Roman"/>
          <w:b/>
          <w:bCs/>
          <w:sz w:val="28"/>
          <w:szCs w:val="28"/>
        </w:rPr>
      </w:pPr>
      <w:r w:rsidRPr="008A302D">
        <w:rPr>
          <w:rFonts w:ascii="Times New Roman" w:hAnsi="Times New Roman"/>
          <w:b/>
          <w:bCs/>
          <w:sz w:val="28"/>
          <w:szCs w:val="28"/>
        </w:rPr>
        <w:lastRenderedPageBreak/>
        <w:t xml:space="preserve">Обязательные требования к составу учетной политики.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Первичные (сводные) учетные документы и учетные регистры, в том числе электронные – порядок составления и принятия к учету. Порядок хранения документов. Особенности электронного бухгалтерского документооборота, в том числе, в случае ведения учета централизованными бухгалтериями.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Оформление обновленного графика документооборота в соответствии с минимальными требованиями к документу (Приказ Минфина России от 30.09.2024 N 144н).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Порядок формирования рабочего плана счетов в учетной политике с учетом требований СГС «Единый план счетов» и последних разъяснений Минфина.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Инвентаризация – порядок проведения и отражения результатов в связи с новыми требованиями и новыми инвентаризационными описями. Роль централизованной бухгалтерии при проведении инвентаризации в обслуживаемых учреждениях.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Отражение в учетной политике работы с дебиторской и кредиторской задолженностью и порядок их списания по результатам инвентаризации.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Порядок применения СГС «События после отчетной даты»; возможность расширения перечня событий в учетной политике.</w:t>
      </w:r>
    </w:p>
    <w:p w:rsidR="002B0AB1" w:rsidRPr="008A302D" w:rsidRDefault="002B0AB1" w:rsidP="002B0AB1">
      <w:pPr>
        <w:pStyle w:val="a7"/>
        <w:numPr>
          <w:ilvl w:val="0"/>
          <w:numId w:val="21"/>
        </w:numPr>
        <w:spacing w:line="240" w:lineRule="auto"/>
        <w:ind w:left="0" w:firstLine="284"/>
        <w:rPr>
          <w:rFonts w:ascii="Times New Roman" w:hAnsi="Times New Roman"/>
          <w:b/>
          <w:bCs/>
          <w:sz w:val="28"/>
          <w:szCs w:val="28"/>
          <w:u w:val="single"/>
        </w:rPr>
      </w:pPr>
      <w:r w:rsidRPr="008A302D">
        <w:rPr>
          <w:rFonts w:ascii="Times New Roman" w:hAnsi="Times New Roman"/>
          <w:b/>
          <w:bCs/>
          <w:sz w:val="28"/>
          <w:szCs w:val="28"/>
          <w:u w:val="single"/>
        </w:rPr>
        <w:t>Порядок организации и обеспечения внутреннего контроля в учреждениях в 2027 году.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Внутренний контроль в учреждении и его связь с государственным (муниципальным) финансовым контролем (Глава 26 БК РФ).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Порядок включения элементов внутреннего контроля в график документооборота.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Формирование реестра рисков по объектам учета и определение способов их минимизации.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Место и роль бухгалтерии в системе внутреннего контроля учреждения. </w:t>
      </w:r>
    </w:p>
    <w:p w:rsidR="002B0AB1" w:rsidRPr="008A302D" w:rsidRDefault="002B0AB1" w:rsidP="002B0AB1">
      <w:pPr>
        <w:pStyle w:val="a7"/>
        <w:numPr>
          <w:ilvl w:val="0"/>
          <w:numId w:val="21"/>
        </w:numPr>
        <w:spacing w:line="240" w:lineRule="auto"/>
        <w:ind w:left="0" w:firstLine="284"/>
        <w:rPr>
          <w:rFonts w:ascii="Times New Roman" w:hAnsi="Times New Roman"/>
          <w:b/>
          <w:bCs/>
          <w:sz w:val="28"/>
          <w:szCs w:val="28"/>
        </w:rPr>
      </w:pPr>
      <w:r w:rsidRPr="008A302D">
        <w:rPr>
          <w:rFonts w:ascii="Times New Roman" w:hAnsi="Times New Roman"/>
          <w:b/>
          <w:bCs/>
          <w:sz w:val="28"/>
          <w:szCs w:val="28"/>
        </w:rPr>
        <w:t>Формирование методического раздела учетной политики (правила отражения объектов учета «по существу»).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Формирование в учетной политике раздела по учету нефинансовых активов с учетом новых требований Федеральных стандартов. Расширение роли Комиссии по поступлению и выбытию нефинансовых активов: оценка справедливой стоимости, отделение основных средств от материальных запасов. Порядок работы Комиссии в случае обслуживания в централизованной бухгалтерии.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Новые правила в учете основных средств в связи с применением СГС «Единый план счетов»: порядок работы с недвижимым имуществом, начисления амортизации, выдачи в личное пользование и т.п.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Порядок учета материальных запасов, в том числе, объектов, выдаваемых в личное пользование.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right="-286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Порядок учета прав пользования, в том числе, при заключении договоров бессрочного пользования.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Особенности формирования учетной политики в части себестоимости </w:t>
      </w:r>
      <w:proofErr w:type="spellStart"/>
      <w:r w:rsidRPr="008A302D">
        <w:rPr>
          <w:rFonts w:ascii="Times New Roman" w:hAnsi="Times New Roman"/>
          <w:sz w:val="28"/>
          <w:szCs w:val="28"/>
        </w:rPr>
        <w:t>госзадания</w:t>
      </w:r>
      <w:proofErr w:type="spellEnd"/>
      <w:r w:rsidRPr="008A302D">
        <w:rPr>
          <w:rFonts w:ascii="Times New Roman" w:hAnsi="Times New Roman"/>
          <w:sz w:val="28"/>
          <w:szCs w:val="28"/>
        </w:rPr>
        <w:t>, услуг в рамках ПДД, готовой продукции и иные операции – общие принципы разделения расходов на счетах 10900 и 40120.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Отражение порядка учета безналичных и наличных денежных средств. Особенности учета наличных денежных средств и денежных документов.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Порядок расчетов с подотчетными лицами в учреждении. Особенности отражения командировочных расходов в учетной политике; положение о служебных командировках. Порядок оформления расчетов с подотчетными лицами в случае обслуживания в централизованной бухгалтерии.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Отдельные вопросы по учету финансовых активов в соответствии с СГС «Финансовые инструменты».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Порядок детализации доходов и расходов в соответствии с СГС «Доходы». Определение дат признания отдельных видов доходов в бюджетном (бухгалтерском) учете – доходы будущих (40140) или текущего (40110) периода.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Порядок резервирования предстоящих расходов с учетом требований СГС «Резервы» и СГС «Выплаты персоналу»; виды резервов, методы оценки, даты признания резервов.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Порядок санкционирования расходов в соответствии с перечнем документов и требованиям финансовых органов. Требования СГС «Бюджетная информация в отчетности».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Особенности учета и оценки имущества на отдельных </w:t>
      </w:r>
      <w:proofErr w:type="spellStart"/>
      <w:r w:rsidRPr="008A302D">
        <w:rPr>
          <w:rFonts w:ascii="Times New Roman" w:hAnsi="Times New Roman"/>
          <w:sz w:val="28"/>
          <w:szCs w:val="28"/>
        </w:rPr>
        <w:t>забалансовых</w:t>
      </w:r>
      <w:proofErr w:type="spellEnd"/>
      <w:r w:rsidRPr="008A302D">
        <w:rPr>
          <w:rFonts w:ascii="Times New Roman" w:hAnsi="Times New Roman"/>
          <w:sz w:val="28"/>
          <w:szCs w:val="28"/>
        </w:rPr>
        <w:t xml:space="preserve"> счетах.</w:t>
      </w:r>
    </w:p>
    <w:p w:rsidR="002B0AB1" w:rsidRPr="008A302D" w:rsidRDefault="002B0AB1" w:rsidP="002B0AB1">
      <w:pPr>
        <w:pStyle w:val="a7"/>
        <w:numPr>
          <w:ilvl w:val="0"/>
          <w:numId w:val="21"/>
        </w:numPr>
        <w:spacing w:line="240" w:lineRule="auto"/>
        <w:ind w:left="0" w:firstLine="284"/>
        <w:rPr>
          <w:rFonts w:ascii="Times New Roman" w:hAnsi="Times New Roman"/>
          <w:b/>
          <w:bCs/>
          <w:sz w:val="28"/>
          <w:szCs w:val="28"/>
        </w:rPr>
      </w:pPr>
      <w:r w:rsidRPr="008A302D">
        <w:rPr>
          <w:rFonts w:ascii="Times New Roman" w:hAnsi="Times New Roman"/>
          <w:b/>
          <w:bCs/>
          <w:sz w:val="28"/>
          <w:szCs w:val="28"/>
        </w:rPr>
        <w:t>Особенности внесения изменений в учетную политику.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Что считать и что не считать изменением учетной политики.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 xml:space="preserve">Порядок внесения изменений в учетную политику: согласование и утверждение. </w:t>
      </w:r>
    </w:p>
    <w:p w:rsidR="002B0AB1" w:rsidRPr="008A302D" w:rsidRDefault="002B0AB1" w:rsidP="002B0AB1">
      <w:pPr>
        <w:pStyle w:val="a7"/>
        <w:numPr>
          <w:ilvl w:val="1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sz w:val="28"/>
          <w:szCs w:val="28"/>
        </w:rPr>
        <w:t>Ретроспективное и перспективное применение измененной учетной политики.</w:t>
      </w:r>
    </w:p>
    <w:p w:rsidR="002B0AB1" w:rsidRDefault="002B0AB1" w:rsidP="002B0AB1">
      <w:pPr>
        <w:pStyle w:val="a7"/>
        <w:numPr>
          <w:ilvl w:val="0"/>
          <w:numId w:val="21"/>
        </w:num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8A302D">
        <w:rPr>
          <w:rFonts w:ascii="Times New Roman" w:hAnsi="Times New Roman"/>
          <w:b/>
          <w:bCs/>
          <w:sz w:val="28"/>
          <w:szCs w:val="28"/>
        </w:rPr>
        <w:t>Ответы на вопросы.</w:t>
      </w:r>
      <w:r w:rsidRPr="008A302D">
        <w:rPr>
          <w:rFonts w:ascii="Times New Roman" w:hAnsi="Times New Roman"/>
          <w:sz w:val="28"/>
          <w:szCs w:val="28"/>
        </w:rPr>
        <w:t xml:space="preserve"> </w:t>
      </w:r>
    </w:p>
    <w:p w:rsidR="002B0AB1" w:rsidRPr="002B0AB1" w:rsidRDefault="002B0AB1" w:rsidP="002B0AB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40B8A" w:rsidRPr="00040B8A" w:rsidRDefault="00040B8A" w:rsidP="00040B8A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40B8A">
        <w:rPr>
          <w:rFonts w:ascii="Times New Roman" w:hAnsi="Times New Roman" w:cs="Times New Roman"/>
          <w:b/>
          <w:bCs/>
          <w:sz w:val="26"/>
          <w:szCs w:val="26"/>
          <w:lang w:val="ru-RU"/>
        </w:rPr>
        <w:t>СТОИМОСТЬ УЧАСТИЯ: 4 500,00 руб. (без НДС), о</w:t>
      </w:r>
      <w:r w:rsidRPr="00040B8A">
        <w:rPr>
          <w:rFonts w:ascii="Times New Roman" w:hAnsi="Times New Roman" w:cs="Times New Roman"/>
          <w:sz w:val="26"/>
          <w:szCs w:val="26"/>
          <w:lang w:val="ru-RU"/>
        </w:rPr>
        <w:t xml:space="preserve">формляется договор на информационно-консультационные услуги </w:t>
      </w:r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>только с юридическими лицами.</w:t>
      </w:r>
    </w:p>
    <w:p w:rsidR="00C66787" w:rsidRDefault="00C66787" w:rsidP="00040B8A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040B8A" w:rsidRPr="00040B8A" w:rsidRDefault="00040B8A" w:rsidP="00040B8A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 xml:space="preserve">Запись </w:t>
      </w:r>
      <w:proofErr w:type="spellStart"/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>вебинара</w:t>
      </w:r>
      <w:proofErr w:type="spellEnd"/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предоставляется в течение 3 </w:t>
      </w:r>
      <w:r w:rsidR="00C66787">
        <w:rPr>
          <w:rFonts w:ascii="Times New Roman" w:hAnsi="Times New Roman" w:cs="Times New Roman"/>
          <w:b/>
          <w:sz w:val="26"/>
          <w:szCs w:val="26"/>
          <w:lang w:val="ru-RU"/>
        </w:rPr>
        <w:t xml:space="preserve">рабочих </w:t>
      </w:r>
      <w:bookmarkStart w:id="0" w:name="_GoBack"/>
      <w:bookmarkEnd w:id="0"/>
      <w:r w:rsidRPr="00040B8A">
        <w:rPr>
          <w:rFonts w:ascii="Times New Roman" w:hAnsi="Times New Roman" w:cs="Times New Roman"/>
          <w:b/>
          <w:sz w:val="26"/>
          <w:szCs w:val="26"/>
          <w:lang w:val="ru-RU"/>
        </w:rPr>
        <w:t>дней после проведения мероприятия - ссылка действительна от 14 дней.</w:t>
      </w:r>
    </w:p>
    <w:p w:rsidR="00F01263" w:rsidRPr="00040B8A" w:rsidRDefault="00F01263" w:rsidP="00F01263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01263" w:rsidRPr="00F222B5" w:rsidRDefault="00F01263" w:rsidP="00F01263">
      <w:pPr>
        <w:spacing w:after="200"/>
        <w:ind w:left="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08518A" wp14:editId="5B2D1EDB">
                <wp:simplePos x="0" y="0"/>
                <wp:positionH relativeFrom="column">
                  <wp:posOffset>100609</wp:posOffset>
                </wp:positionH>
                <wp:positionV relativeFrom="paragraph">
                  <wp:posOffset>98069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01263" w:rsidRDefault="00F01263" w:rsidP="00F0126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Зарегистрироваться по телефон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>у</w:t>
                            </w:r>
                            <w:r>
                              <w:rPr>
                                <w:rFonts w:cs="Arial"/>
                              </w:rPr>
                              <w:t xml:space="preserve"> 8-8332-414139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 xml:space="preserve"> 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rFonts w:cs="Arial"/>
                                <w:lang w:val="ru-RU"/>
                              </w:rPr>
                            </w:pPr>
                            <w:r>
                              <w:rPr>
                                <w:rFonts w:cs="Arial"/>
                                <w:lang w:val="ru-RU"/>
                              </w:rPr>
                              <w:t xml:space="preserve">или электронным почтам </w: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begin"/>
                            </w:r>
                            <w:r w:rsidR="00C66787" w:rsidRPr="00C66787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 </w:instrTex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HYPERLINK</w:instrText>
                            </w:r>
                            <w:r w:rsidR="00C66787" w:rsidRPr="00C66787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 "</w:instrTex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mailto</w:instrText>
                            </w:r>
                            <w:r w:rsidR="00C66787" w:rsidRPr="00C66787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:</w:instrTex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uc</w:instrText>
                            </w:r>
                            <w:r w:rsidR="00C66787" w:rsidRPr="00C66787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240@</w:instrTex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mail</w:instrText>
                            </w:r>
                            <w:r w:rsidR="00C66787" w:rsidRPr="00C66787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>.</w:instrTex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instrText>ru</w:instrText>
                            </w:r>
                            <w:r w:rsidR="00C66787" w:rsidRPr="00C66787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instrText xml:space="preserve">" </w:instrTex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separate"/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uc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</w:rPr>
                              <w:t>240@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</w:rPr>
                              <w:t>.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ru</w:t>
                            </w:r>
                            <w:r w:rsidR="00C66787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fldChar w:fldCharType="end"/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13@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ipbr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Оформ</w:t>
                            </w:r>
                            <w:r>
                              <w:rPr>
                                <w:rFonts w:cs="Arial"/>
                                <w:lang w:val="ru-RU"/>
                              </w:rPr>
                              <w:t>ить</w:t>
                            </w:r>
                            <w:r>
                              <w:rPr>
                                <w:rFonts w:cs="Arial"/>
                              </w:rPr>
                              <w:t xml:space="preserve"> договор на информационно-консультационные услуги</w:t>
                            </w:r>
                          </w:p>
                          <w:p w:rsidR="00F01263" w:rsidRDefault="00F01263" w:rsidP="00F01263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Произвести оплату по безналичному расчету до начала мероприятия</w:t>
                            </w:r>
                          </w:p>
                          <w:p w:rsidR="00F01263" w:rsidRDefault="00F01263" w:rsidP="00F0126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F01263" w:rsidRPr="00E13745" w:rsidRDefault="00F01263" w:rsidP="00F01263">
                            <w:pPr>
                              <w:pStyle w:val="a7"/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8"/>
                              </w:rPr>
                            </w:pPr>
                            <w:r>
                              <w:rPr>
                                <w:b/>
                                <w:lang w:val="ru-RU"/>
                              </w:rPr>
                              <w:t>8-8332-</w:t>
                            </w:r>
                            <w:proofErr w:type="gramStart"/>
                            <w:r>
                              <w:rPr>
                                <w:b/>
                                <w:lang w:val="ru-RU"/>
                              </w:rPr>
                              <w:t xml:space="preserve">414139,  </w:t>
                            </w:r>
                            <w:hyperlink r:id="rId6" w:history="1">
                              <w:r>
                                <w:rPr>
                                  <w:rStyle w:val="a3"/>
                                  <w:b/>
                                </w:rPr>
                                <w:t>uc</w:t>
                              </w:r>
                              <w:r>
                                <w:rPr>
                                  <w:rStyle w:val="a3"/>
                                  <w:b/>
                                  <w:lang w:val="ru-RU"/>
                                </w:rPr>
                                <w:t>240@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mail</w:t>
                              </w:r>
                              <w:r>
                                <w:rPr>
                                  <w:rStyle w:val="a3"/>
                                  <w:b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ru</w:t>
                              </w:r>
                              <w:proofErr w:type="gramEnd"/>
                            </w:hyperlink>
                            <w:r>
                              <w:rPr>
                                <w:rStyle w:val="a3"/>
                                <w:b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Style w:val="a3"/>
                                <w:b/>
                              </w:rPr>
                              <w:t>ti</w:t>
                            </w:r>
                            <w:r>
                              <w:rPr>
                                <w:rStyle w:val="a3"/>
                                <w:b/>
                                <w:lang w:val="ru-RU"/>
                              </w:rPr>
                              <w:t>13@</w:t>
                            </w:r>
                            <w:r>
                              <w:rPr>
                                <w:rStyle w:val="a3"/>
                                <w:b/>
                              </w:rPr>
                              <w:t>ipbr</w:t>
                            </w:r>
                            <w:r>
                              <w:rPr>
                                <w:rStyle w:val="a3"/>
                                <w:b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Style w:val="a3"/>
                                <w:b/>
                              </w:rPr>
                              <w:t>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08518A" id="Скругленный прямоугольник 4" o:spid="_x0000_s1026" style="position:absolute;left:0;text-align:left;margin-left:7.9pt;margin-top:7.7pt;width:499.95pt;height:13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" strokeweight="4.5pt">
                <v:stroke linestyle="thickThin"/>
                <v:shadow opacity=".5" offset="6pt,-6pt"/>
                <v:textbox>
                  <w:txbxContent>
                    <w:p w:rsidR="00F01263" w:rsidRDefault="00F01263" w:rsidP="00F01263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F01263" w:rsidRDefault="00F01263" w:rsidP="00F01263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Зарегистрироваться по телефон</w:t>
                      </w:r>
                      <w:r>
                        <w:rPr>
                          <w:rFonts w:cs="Arial"/>
                          <w:lang w:val="ru-RU"/>
                        </w:rPr>
                        <w:t>у</w:t>
                      </w:r>
                      <w:r>
                        <w:rPr>
                          <w:rFonts w:cs="Arial"/>
                        </w:rPr>
                        <w:t xml:space="preserve"> 8-8332-414139</w:t>
                      </w:r>
                      <w:r>
                        <w:rPr>
                          <w:rFonts w:cs="Arial"/>
                          <w:lang w:val="ru-RU"/>
                        </w:rPr>
                        <w:t xml:space="preserve"> </w:t>
                      </w:r>
                    </w:p>
                    <w:p w:rsidR="00F01263" w:rsidRDefault="00F01263" w:rsidP="00F01263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rFonts w:cs="Arial"/>
                          <w:lang w:val="ru-RU"/>
                        </w:rPr>
                      </w:pPr>
                      <w:r>
                        <w:rPr>
                          <w:rFonts w:cs="Arial"/>
                          <w:lang w:val="ru-RU"/>
                        </w:rPr>
                        <w:t xml:space="preserve">или электронным почтам </w: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begin"/>
                      </w:r>
                      <w:r w:rsidR="00C66787" w:rsidRPr="00C66787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 </w:instrTex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HYPERLINK</w:instrText>
                      </w:r>
                      <w:r w:rsidR="00C66787" w:rsidRPr="00C66787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 "</w:instrTex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mailto</w:instrText>
                      </w:r>
                      <w:r w:rsidR="00C66787" w:rsidRPr="00C66787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:</w:instrTex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uc</w:instrText>
                      </w:r>
                      <w:r w:rsidR="00C66787" w:rsidRPr="00C66787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240@</w:instrTex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mail</w:instrText>
                      </w:r>
                      <w:r w:rsidR="00C66787" w:rsidRPr="00C66787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>.</w:instrTex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instrText>ru</w:instrText>
                      </w:r>
                      <w:r w:rsidR="00C66787" w:rsidRPr="00C66787">
                        <w:rPr>
                          <w:rStyle w:val="a3"/>
                          <w:rFonts w:cs="Arial"/>
                          <w:b/>
                          <w:lang w:val="ru-RU"/>
                        </w:rPr>
                        <w:instrText xml:space="preserve">" </w:instrTex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separate"/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uc</w:t>
                      </w:r>
                      <w:r>
                        <w:rPr>
                          <w:rStyle w:val="a3"/>
                          <w:rFonts w:cs="Arial"/>
                          <w:b/>
                        </w:rPr>
                        <w:t>240@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mail</w:t>
                      </w:r>
                      <w:r>
                        <w:rPr>
                          <w:rStyle w:val="a3"/>
                          <w:rFonts w:cs="Arial"/>
                          <w:b/>
                        </w:rPr>
                        <w:t>.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ru</w:t>
                      </w:r>
                      <w:r w:rsidR="00C66787">
                        <w:rPr>
                          <w:rStyle w:val="a3"/>
                          <w:rFonts w:cs="Arial"/>
                          <w:b/>
                          <w:lang w:val="en-US"/>
                        </w:rPr>
                        <w:fldChar w:fldCharType="end"/>
                      </w:r>
                      <w:r>
                        <w:rPr>
                          <w:rStyle w:val="a3"/>
                          <w:rFonts w:cs="Arial"/>
                          <w:b/>
                          <w:lang w:val="ru-RU"/>
                        </w:rPr>
                        <w:t xml:space="preserve">, 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ti</w:t>
                      </w:r>
                      <w:r>
                        <w:rPr>
                          <w:rStyle w:val="a3"/>
                          <w:rFonts w:cs="Arial"/>
                          <w:b/>
                          <w:lang w:val="ru-RU"/>
                        </w:rPr>
                        <w:t>13@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ipbr</w:t>
                      </w:r>
                      <w:r>
                        <w:rPr>
                          <w:rStyle w:val="a3"/>
                          <w:rFonts w:cs="Arial"/>
                          <w:b/>
                          <w:lang w:val="ru-RU"/>
                        </w:rPr>
                        <w:t>.</w:t>
                      </w:r>
                      <w:r>
                        <w:rPr>
                          <w:rStyle w:val="a3"/>
                          <w:rFonts w:cs="Arial"/>
                          <w:b/>
                          <w:lang w:val="en-US"/>
                        </w:rPr>
                        <w:t>org</w:t>
                      </w:r>
                    </w:p>
                    <w:p w:rsidR="00F01263" w:rsidRDefault="00F01263" w:rsidP="00F01263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Оформ</w:t>
                      </w:r>
                      <w:r>
                        <w:rPr>
                          <w:rFonts w:cs="Arial"/>
                          <w:lang w:val="ru-RU"/>
                        </w:rPr>
                        <w:t>ить</w:t>
                      </w:r>
                      <w:r>
                        <w:rPr>
                          <w:rFonts w:cs="Arial"/>
                        </w:rPr>
                        <w:t xml:space="preserve"> договор на информационно-консультационные услуги</w:t>
                      </w:r>
                    </w:p>
                    <w:p w:rsidR="00F01263" w:rsidRDefault="00F01263" w:rsidP="00F01263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Произвести оплату по безналичному расчету до начала мероприятия</w:t>
                      </w:r>
                    </w:p>
                    <w:p w:rsidR="00F01263" w:rsidRDefault="00F01263" w:rsidP="00F01263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F01263" w:rsidRPr="00E13745" w:rsidRDefault="00F01263" w:rsidP="00F01263">
                      <w:pPr>
                        <w:pStyle w:val="a7"/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8"/>
                        </w:rPr>
                      </w:pPr>
                      <w:r>
                        <w:rPr>
                          <w:b/>
                          <w:lang w:val="ru-RU"/>
                        </w:rPr>
                        <w:t>8-8332-</w:t>
                      </w:r>
                      <w:proofErr w:type="gramStart"/>
                      <w:r>
                        <w:rPr>
                          <w:b/>
                          <w:lang w:val="ru-RU"/>
                        </w:rPr>
                        <w:t xml:space="preserve">414139,  </w:t>
                      </w:r>
                      <w:hyperlink r:id="rId7" w:history="1">
                        <w:r>
                          <w:rPr>
                            <w:rStyle w:val="a3"/>
                            <w:b/>
                          </w:rPr>
                          <w:t>uc</w:t>
                        </w:r>
                        <w:r>
                          <w:rPr>
                            <w:rStyle w:val="a3"/>
                            <w:b/>
                            <w:lang w:val="ru-RU"/>
                          </w:rPr>
                          <w:t>240@</w:t>
                        </w:r>
                        <w:r>
                          <w:rPr>
                            <w:rStyle w:val="a3"/>
                            <w:b/>
                          </w:rPr>
                          <w:t>mail</w:t>
                        </w:r>
                        <w:r>
                          <w:rPr>
                            <w:rStyle w:val="a3"/>
                            <w:b/>
                            <w:lang w:val="ru-RU"/>
                          </w:rPr>
                          <w:t>.</w:t>
                        </w:r>
                        <w:r>
                          <w:rPr>
                            <w:rStyle w:val="a3"/>
                            <w:b/>
                          </w:rPr>
                          <w:t>ru</w:t>
                        </w:r>
                        <w:proofErr w:type="gramEnd"/>
                      </w:hyperlink>
                      <w:r>
                        <w:rPr>
                          <w:rStyle w:val="a3"/>
                          <w:b/>
                          <w:lang w:val="ru-RU"/>
                        </w:rPr>
                        <w:t xml:space="preserve">, </w:t>
                      </w:r>
                      <w:r>
                        <w:rPr>
                          <w:rStyle w:val="a3"/>
                          <w:b/>
                        </w:rPr>
                        <w:t>ti</w:t>
                      </w:r>
                      <w:r>
                        <w:rPr>
                          <w:rStyle w:val="a3"/>
                          <w:b/>
                          <w:lang w:val="ru-RU"/>
                        </w:rPr>
                        <w:t>13@</w:t>
                      </w:r>
                      <w:r>
                        <w:rPr>
                          <w:rStyle w:val="a3"/>
                          <w:b/>
                        </w:rPr>
                        <w:t>ipbr</w:t>
                      </w:r>
                      <w:r>
                        <w:rPr>
                          <w:rStyle w:val="a3"/>
                          <w:b/>
                          <w:lang w:val="ru-RU"/>
                        </w:rPr>
                        <w:t>.</w:t>
                      </w:r>
                      <w:r>
                        <w:rPr>
                          <w:rStyle w:val="a3"/>
                          <w:b/>
                        </w:rPr>
                        <w:t>org</w:t>
                      </w:r>
                    </w:p>
                  </w:txbxContent>
                </v:textbox>
              </v:roundrect>
            </w:pict>
          </mc:Fallback>
        </mc:AlternateContent>
      </w:r>
    </w:p>
    <w:p w:rsidR="00F01263" w:rsidRPr="00F222B5" w:rsidRDefault="00F01263" w:rsidP="00F01263">
      <w:pPr>
        <w:ind w:left="142" w:right="-143"/>
        <w:rPr>
          <w:sz w:val="24"/>
          <w:szCs w:val="24"/>
          <w:lang w:val="ru-RU"/>
        </w:rPr>
      </w:pPr>
    </w:p>
    <w:p w:rsidR="00F01263" w:rsidRPr="00F222B5" w:rsidRDefault="00F01263" w:rsidP="00F01263">
      <w:pPr>
        <w:ind w:left="142" w:right="-143"/>
        <w:rPr>
          <w:sz w:val="24"/>
          <w:szCs w:val="24"/>
          <w:lang w:val="ru-RU"/>
        </w:rPr>
      </w:pPr>
    </w:p>
    <w:p w:rsidR="00F01263" w:rsidRPr="00F222B5" w:rsidRDefault="00F01263" w:rsidP="00F01263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F0126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>
      <w:pgSz w:w="11906" w:h="16838"/>
      <w:pgMar w:top="567" w:right="567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3B08A4"/>
    <w:multiLevelType w:val="multilevel"/>
    <w:tmpl w:val="A86247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8D87A8F"/>
    <w:multiLevelType w:val="multilevel"/>
    <w:tmpl w:val="79A068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A30214"/>
    <w:multiLevelType w:val="multilevel"/>
    <w:tmpl w:val="D0561A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1344F"/>
    <w:multiLevelType w:val="multilevel"/>
    <w:tmpl w:val="68A028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5E87276E"/>
    <w:multiLevelType w:val="multilevel"/>
    <w:tmpl w:val="05AA9B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B349EE"/>
    <w:multiLevelType w:val="multilevel"/>
    <w:tmpl w:val="0CE277F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16"/>
  </w:num>
  <w:num w:numId="7">
    <w:abstractNumId w:val="6"/>
  </w:num>
  <w:num w:numId="8">
    <w:abstractNumId w:val="9"/>
  </w:num>
  <w:num w:numId="9">
    <w:abstractNumId w:val="7"/>
  </w:num>
  <w:num w:numId="10">
    <w:abstractNumId w:val="13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8"/>
  </w:num>
  <w:num w:numId="14">
    <w:abstractNumId w:val="17"/>
  </w:num>
  <w:num w:numId="15">
    <w:abstractNumId w:val="19"/>
  </w:num>
  <w:num w:numId="16">
    <w:abstractNumId w:val="12"/>
  </w:num>
  <w:num w:numId="17">
    <w:abstractNumId w:val="10"/>
  </w:num>
  <w:num w:numId="18">
    <w:abstractNumId w:val="18"/>
  </w:num>
  <w:num w:numId="19">
    <w:abstractNumId w:val="15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40B8A"/>
    <w:rsid w:val="00051882"/>
    <w:rsid w:val="00066F7C"/>
    <w:rsid w:val="000A2C64"/>
    <w:rsid w:val="000F79FF"/>
    <w:rsid w:val="00120B85"/>
    <w:rsid w:val="00176254"/>
    <w:rsid w:val="001A25DC"/>
    <w:rsid w:val="001D7DF9"/>
    <w:rsid w:val="00211194"/>
    <w:rsid w:val="002147B1"/>
    <w:rsid w:val="00254092"/>
    <w:rsid w:val="00270F63"/>
    <w:rsid w:val="002B0AB1"/>
    <w:rsid w:val="002B5770"/>
    <w:rsid w:val="00321311"/>
    <w:rsid w:val="0038341E"/>
    <w:rsid w:val="003960F7"/>
    <w:rsid w:val="003A4AE8"/>
    <w:rsid w:val="004A2074"/>
    <w:rsid w:val="004B1703"/>
    <w:rsid w:val="004B662B"/>
    <w:rsid w:val="005025E1"/>
    <w:rsid w:val="00592EA5"/>
    <w:rsid w:val="005C0557"/>
    <w:rsid w:val="005F723F"/>
    <w:rsid w:val="00737034"/>
    <w:rsid w:val="007E2E81"/>
    <w:rsid w:val="00804A36"/>
    <w:rsid w:val="008C35E8"/>
    <w:rsid w:val="00991D37"/>
    <w:rsid w:val="00A55D2D"/>
    <w:rsid w:val="00A843B2"/>
    <w:rsid w:val="00B9748E"/>
    <w:rsid w:val="00C17705"/>
    <w:rsid w:val="00C2115A"/>
    <w:rsid w:val="00C47CBC"/>
    <w:rsid w:val="00C66787"/>
    <w:rsid w:val="00CD5E0B"/>
    <w:rsid w:val="00D9651B"/>
    <w:rsid w:val="00F01263"/>
    <w:rsid w:val="00F2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Strong"/>
    <w:basedOn w:val="a0"/>
    <w:uiPriority w:val="22"/>
    <w:qFormat/>
    <w:rsid w:val="00040B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F8A06-F0BD-4133-85F9-725CF46D6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2</cp:revision>
  <cp:lastPrinted>2026-02-18T09:38:00Z</cp:lastPrinted>
  <dcterms:created xsi:type="dcterms:W3CDTF">2026-10-05T08:36:00Z</dcterms:created>
  <dcterms:modified xsi:type="dcterms:W3CDTF">2026-10-05T08:36:00Z</dcterms:modified>
</cp:coreProperties>
</file>