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62B" w:rsidRPr="00933BEA" w:rsidRDefault="004B662B" w:rsidP="004B662B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4B662B" w:rsidRDefault="004B662B" w:rsidP="004B662B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4B662B" w:rsidRPr="00933BEA" w:rsidRDefault="004B662B" w:rsidP="004B662B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4B662B" w:rsidRDefault="004B662B" w:rsidP="004B662B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D8C6C6" wp14:editId="354E611D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8ED71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4B662B" w:rsidRDefault="004B662B" w:rsidP="004B662B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4B662B" w:rsidRDefault="004B662B" w:rsidP="004B662B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4B662B" w:rsidRDefault="004B662B" w:rsidP="004B662B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4B662B" w:rsidRDefault="004B662B" w:rsidP="004B662B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4B662B" w:rsidRDefault="004B662B" w:rsidP="004B662B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270F63" w:rsidRDefault="00270F63" w:rsidP="00270F63">
      <w:pPr>
        <w:pStyle w:val="a8"/>
        <w:spacing w:line="36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Тема «Сложные вопросы годовой отчетности»</w:t>
      </w:r>
    </w:p>
    <w:p w:rsidR="00270F63" w:rsidRDefault="00270F63" w:rsidP="00270F63">
      <w:pPr>
        <w:pStyle w:val="a8"/>
        <w:spacing w:line="360" w:lineRule="auto"/>
        <w:ind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ОНЛАЙН: 14 декабря 2026 г.</w:t>
      </w:r>
    </w:p>
    <w:p w:rsidR="00270F63" w:rsidRDefault="00270F63" w:rsidP="00270F63">
      <w:pPr>
        <w:pStyle w:val="a8"/>
        <w:spacing w:line="360" w:lineRule="auto"/>
        <w:ind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270F63" w:rsidRPr="00270F63" w:rsidRDefault="00270F63" w:rsidP="00270F63">
      <w:pPr>
        <w:tabs>
          <w:tab w:val="left" w:pos="3402"/>
        </w:tabs>
        <w:spacing w:line="240" w:lineRule="auto"/>
        <w:ind w:left="142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</w:pPr>
      <w:r w:rsidRPr="00270F63">
        <w:rPr>
          <w:rFonts w:ascii="Times New Roman" w:hAnsi="Times New Roman" w:cs="Times New Roman"/>
          <w:b/>
          <w:bCs/>
          <w:sz w:val="26"/>
          <w:szCs w:val="26"/>
          <w:lang w:val="ru-RU"/>
        </w:rPr>
        <w:t>ЛЕКТОР</w:t>
      </w:r>
      <w:r w:rsidRPr="00270F63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270F63">
        <w:rPr>
          <w:rFonts w:ascii="Times New Roman" w:hAnsi="Times New Roman" w:cs="Times New Roman"/>
          <w:b/>
          <w:sz w:val="26"/>
          <w:szCs w:val="26"/>
          <w:lang w:val="ru-RU"/>
        </w:rPr>
        <w:t>ОПАЛЬСКИЙ Александр Юрьевич</w:t>
      </w:r>
      <w:r w:rsidRPr="00270F63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r w:rsidRPr="00270F6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преподаватель кафедры учета, анализа и аудита МГУ, аттестованный преподаватель ИПБР по программам «Профессиональный бухгалтер бюджетных учреждений», «Бухгалтерский учет в бюджетных учреждениях», автор книг и статей, посвященных бухгалтерскому учету и отчетности в бюджетных учреждениях.</w:t>
      </w:r>
    </w:p>
    <w:p w:rsidR="00270F63" w:rsidRPr="00270F63" w:rsidRDefault="00270F63" w:rsidP="00270F63">
      <w:pPr>
        <w:tabs>
          <w:tab w:val="left" w:pos="3402"/>
        </w:tabs>
        <w:spacing w:line="240" w:lineRule="auto"/>
        <w:ind w:left="142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</w:pPr>
    </w:p>
    <w:p w:rsidR="00270F63" w:rsidRPr="00270F63" w:rsidRDefault="00270F63" w:rsidP="00270F63">
      <w:pPr>
        <w:spacing w:line="240" w:lineRule="auto"/>
        <w:jc w:val="center"/>
        <w:rPr>
          <w:rFonts w:ascii="Arial" w:hAnsi="Arial" w:cs="Arial"/>
          <w:b/>
          <w:i/>
          <w:sz w:val="26"/>
          <w:szCs w:val="26"/>
          <w:lang w:val="ru-RU"/>
        </w:rPr>
      </w:pPr>
      <w:r w:rsidRPr="00270F6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ПРОГРАММА ВЕБИНАРА:</w:t>
      </w:r>
    </w:p>
    <w:p w:rsidR="00270F63" w:rsidRPr="00270F63" w:rsidRDefault="00270F63" w:rsidP="00270F63">
      <w:pPr>
        <w:spacing w:line="240" w:lineRule="auto"/>
        <w:jc w:val="center"/>
        <w:rPr>
          <w:rFonts w:ascii="Arial" w:hAnsi="Arial" w:cs="Arial"/>
          <w:b/>
          <w:i/>
          <w:sz w:val="26"/>
          <w:szCs w:val="26"/>
          <w:lang w:val="ru-RU"/>
        </w:rPr>
      </w:pPr>
      <w:r w:rsidRPr="00270F63">
        <w:rPr>
          <w:rFonts w:ascii="Arial" w:hAnsi="Arial" w:cs="Arial"/>
          <w:b/>
          <w:i/>
          <w:sz w:val="26"/>
          <w:szCs w:val="26"/>
          <w:lang w:val="ru-RU"/>
        </w:rPr>
        <w:t>(в программе возможны дополнения в связи с изменениями законодательства)</w:t>
      </w:r>
    </w:p>
    <w:p w:rsidR="00270F63" w:rsidRPr="00270F63" w:rsidRDefault="00270F63" w:rsidP="00270F63">
      <w:pPr>
        <w:spacing w:line="240" w:lineRule="auto"/>
        <w:jc w:val="center"/>
        <w:rPr>
          <w:rFonts w:ascii="Arial" w:hAnsi="Arial" w:cs="Arial"/>
          <w:i/>
          <w:sz w:val="26"/>
          <w:szCs w:val="26"/>
          <w:lang w:val="ru-RU"/>
        </w:rPr>
      </w:pPr>
    </w:p>
    <w:p w:rsidR="00270F63" w:rsidRPr="00270F63" w:rsidRDefault="00270F63" w:rsidP="00270F63">
      <w:pPr>
        <w:spacing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  <w:lang w:val="ru-RU"/>
        </w:rPr>
      </w:pPr>
      <w:r w:rsidRPr="00270F63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При составлении отчетности необходимо учитывать ряд подготовительных этапов – порядок исправления ошибок в учете и отчетности, событий после отчетной даты. Данные особенности на практических примерах будут рассмотрены в рамках </w:t>
      </w:r>
      <w:proofErr w:type="spellStart"/>
      <w:r w:rsidRPr="00270F63">
        <w:rPr>
          <w:rFonts w:ascii="Times New Roman" w:hAnsi="Times New Roman" w:cs="Times New Roman"/>
          <w:iCs/>
          <w:sz w:val="26"/>
          <w:szCs w:val="26"/>
          <w:lang w:val="ru-RU"/>
        </w:rPr>
        <w:t>вебинара</w:t>
      </w:r>
      <w:proofErr w:type="spellEnd"/>
      <w:r w:rsidRPr="00270F63">
        <w:rPr>
          <w:rFonts w:ascii="Times New Roman" w:hAnsi="Times New Roman" w:cs="Times New Roman"/>
          <w:iCs/>
          <w:sz w:val="26"/>
          <w:szCs w:val="26"/>
          <w:lang w:val="ru-RU"/>
        </w:rPr>
        <w:t>. Кроме этого, будет показан алгоритм заполнения отдельных форм отчетности в нетипичных ситуациях, в особенности, когда бухгалтерские программы не проставляют показатели автоматически. Семинар будет актуален для главных бухгалтеров учреждений всех типов (бюджетных, автономных и казенных), органов власти и управления и специалистов централизованных бухгалтерий.</w:t>
      </w:r>
    </w:p>
    <w:p w:rsidR="00270F63" w:rsidRPr="00270F63" w:rsidRDefault="00270F63" w:rsidP="00270F63">
      <w:pPr>
        <w:spacing w:line="240" w:lineRule="auto"/>
        <w:ind w:right="-2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Состав и общий порядок составления отчетности </w:t>
      </w:r>
      <w:r w:rsidRPr="00270F63">
        <w:rPr>
          <w:rFonts w:ascii="Times New Roman" w:hAnsi="Times New Roman"/>
          <w:sz w:val="26"/>
          <w:szCs w:val="26"/>
        </w:rPr>
        <w:t>в соответствии с обновленными Инструкциями № 33н и 191н.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bCs/>
          <w:sz w:val="26"/>
          <w:szCs w:val="26"/>
        </w:rPr>
      </w:pPr>
      <w:r w:rsidRPr="00270F63">
        <w:rPr>
          <w:rFonts w:ascii="Times New Roman" w:hAnsi="Times New Roman"/>
          <w:bCs/>
          <w:sz w:val="26"/>
          <w:szCs w:val="26"/>
        </w:rPr>
        <w:t>Общий порядок применения положений СГС «Консолидированная отчетность» и СГС «Сведения о показателях бухгалтерской (финансовой) отчетности по сегментам».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Обзор последних изменений в Инструкции № 33н, 191н.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b/>
          <w:sz w:val="26"/>
          <w:szCs w:val="26"/>
        </w:rPr>
        <w:t>Порядок исправления ошибок и составления Сведений (ф. 0503173 и ф. 0503773).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Понятие «ошибки» в учете в соответствии с СГС «Учетная политика, оценочные значения и ошибки»; классификация ошибок (ошибки текущего и прошлых периодов).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Порядок отражения операций по исправлению ошибок текущего финансового года; применение Журнала операций по исправлению ошибок прошлых лет.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Порядок исправления ошибок прошлых отчетных периодов, в том числе выявленных по результатам контрольных мероприятий – с применением счетов 40116, 40117, 40126, 40127, 30466, 30476.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Особенности составления Сведений (ф. 0503773 и ф. 0503173) при исправлении ошибок прошлых отчетных периодов.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b/>
          <w:sz w:val="26"/>
          <w:szCs w:val="26"/>
        </w:rPr>
        <w:t xml:space="preserve">Рассматриваем СГС «События после отчетной даты» и отражаем эти события в отчетности.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lastRenderedPageBreak/>
        <w:t xml:space="preserve">Особенности отражения в учете и отчетности первичных документов, поступивших в учреждение до и после даты представления отчетности.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right="-286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Порядок отражения событий, подтверждающих условия деятельности учреждения на отчетную дату.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Правила отражения событий, указывающих на факты хозяйственной жизни, возникшие после отчетной даты.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Особенности составления Справки по консолидируемым расчетам (ф. 0503125 и ф. 0503725).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Регламентированные Инструкциями правила заполнения Справок; отличия в заполнении Справки (ф. 0503125) для казенных и Справки (ф. 0503725) для бюджетных и автономных учреждений.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Особенности составления Справок при передаче недвижимого имущества, в том числе, в конце года (в составе событий после отчетной даты).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right="-286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Дополнительные требования </w:t>
      </w:r>
      <w:proofErr w:type="spellStart"/>
      <w:r w:rsidRPr="00270F63">
        <w:rPr>
          <w:rFonts w:ascii="Times New Roman" w:hAnsi="Times New Roman"/>
          <w:sz w:val="26"/>
          <w:szCs w:val="26"/>
        </w:rPr>
        <w:t>финорганов</w:t>
      </w:r>
      <w:proofErr w:type="spellEnd"/>
      <w:r w:rsidRPr="00270F63">
        <w:rPr>
          <w:rFonts w:ascii="Times New Roman" w:hAnsi="Times New Roman"/>
          <w:sz w:val="26"/>
          <w:szCs w:val="26"/>
        </w:rPr>
        <w:t xml:space="preserve"> субъектов РФ (муниципалитетов) при составлении Справок.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>Нетипичные операции при составлении Отчета о движении денежных средств (ф. 0503123 и ф. 0503723).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Структура Отчета в соответствии с СГС «Отчет о движении денежных средств» и регламентированных требований Инструкций № 33н и № 191н.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Порядок отражения </w:t>
      </w:r>
      <w:proofErr w:type="spellStart"/>
      <w:r w:rsidRPr="00270F63">
        <w:rPr>
          <w:rFonts w:ascii="Times New Roman" w:hAnsi="Times New Roman"/>
          <w:sz w:val="26"/>
          <w:szCs w:val="26"/>
        </w:rPr>
        <w:t>внеооборотных</w:t>
      </w:r>
      <w:proofErr w:type="spellEnd"/>
      <w:r w:rsidRPr="00270F63">
        <w:rPr>
          <w:rFonts w:ascii="Times New Roman" w:hAnsi="Times New Roman"/>
          <w:sz w:val="26"/>
          <w:szCs w:val="26"/>
        </w:rPr>
        <w:t xml:space="preserve"> материальных запасов в Отчете.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Особенности составления Раздела 3 «Изменение остатков средств». 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Сложные вопросы при составлении Отчета об исполнении Плана ФХД (ф. 0503737) и Отчета об исполнении бюджета (ф. 0503127).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Общие правила и структура Отчета в соответствии с требованиями СГС «Бюджетная информация в отчетности» и Инструкций № 33н и № 191н.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Отчет – как симбиоз кассового метода и метода начисления; понятие «некассовых операций» и их отражение в учете учреждения и Отчете (ф. 0503737 и ф. 0503727).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Особенности заполнения Раздела 3 «Источники финансирования дефицита»; сверка показателей с Отчетом о движении денежных средств.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Отчет об обязательствах (ф. 0503128 и ф. 0503738) и сложные вопросы его составления.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Структура Отчета в соответствии с требованиями СГС «Бюджетная информация в отчетности» и Инструкций № 33н и № 191н.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Особенности формирования принятых обязательств при уточнении контракта, расторжения контракта или препятствиях к его заключению.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Понятие «не исполненных обязательств» и «не исполненных денежных обязательств», порядок их формирования в конце года.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Не исполненные обязательства или обязательства следующего года; сверка со Сведениями (ф. 0503169 и ф. 0503769).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Отложенные обязательства и сверка со счетами резервов в учете учреждения.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>Проверка Сведений по дебиторской (кредиторской) задолженности (ф. 0503169 и ф. 0503769).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Понятия просроченной и текущей, долгосрочной и краткосрочной задолженности; сверка с Балансом учреждения.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Применение счетов 40141 и 40149: регламентированные Минфином требования и порядок отражения в Сведениях.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Резерв или кредиторская задолженность в конце года: отражение в Сведениях и в Балансе учреждения.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Особенности закрытия счетов 30314 в конце года, в том числе, при досрочном перечислении средств на ЕНС.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Регламентированные Минфином России требования к составлению Раздела 2 «Сведения о просроченной задолженности»; дополнительные требования </w:t>
      </w:r>
      <w:proofErr w:type="spellStart"/>
      <w:r w:rsidRPr="00270F63">
        <w:rPr>
          <w:rFonts w:ascii="Times New Roman" w:hAnsi="Times New Roman"/>
          <w:sz w:val="26"/>
          <w:szCs w:val="26"/>
        </w:rPr>
        <w:t>финорганов</w:t>
      </w:r>
      <w:proofErr w:type="spellEnd"/>
      <w:r w:rsidRPr="00270F63">
        <w:rPr>
          <w:rFonts w:ascii="Times New Roman" w:hAnsi="Times New Roman"/>
          <w:sz w:val="26"/>
          <w:szCs w:val="26"/>
        </w:rPr>
        <w:t xml:space="preserve"> и учредителей.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Сверка просроченной задолженности с Таблицей «Причины увеличения просроченной задолженности».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Списание задолженностей как одна из процедур работы с просроченной дебиторской (кредиторской) задолженностью.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Проверка правильности заполнения Справки по заключению счетов (ф. 0503110 и ф. 0503710).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Проверка соответствия КБК и КОСГУ при нетипичных операциях (переоценка, </w:t>
      </w:r>
      <w:proofErr w:type="spellStart"/>
      <w:r w:rsidRPr="00270F63">
        <w:rPr>
          <w:rFonts w:ascii="Times New Roman" w:hAnsi="Times New Roman"/>
          <w:sz w:val="26"/>
          <w:szCs w:val="26"/>
        </w:rPr>
        <w:t>реклассификация</w:t>
      </w:r>
      <w:proofErr w:type="spellEnd"/>
      <w:r w:rsidRPr="00270F63">
        <w:rPr>
          <w:rFonts w:ascii="Times New Roman" w:hAnsi="Times New Roman"/>
          <w:sz w:val="26"/>
          <w:szCs w:val="26"/>
        </w:rPr>
        <w:t>, расчеты с учредителем и т.п.).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284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Порядок заполнения Раздела 2 Справки при закрытии счетов 10900 и/или 40120; роль учетной политики при формировании себестоимости на счетах 10900.  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Заполнение Баланса (ф. 0503130 и ф. 0503730) в нетипичных ситуациях.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142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>Порядок определения долгосрочных (краткосрочных) активов (обязательств) в соответствии с требованиями СГС «Представление отчетности» и Инструкций № 33н и № 191н.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142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Проверка </w:t>
      </w:r>
      <w:proofErr w:type="spellStart"/>
      <w:r w:rsidRPr="00270F63">
        <w:rPr>
          <w:rFonts w:ascii="Times New Roman" w:hAnsi="Times New Roman"/>
          <w:sz w:val="26"/>
          <w:szCs w:val="26"/>
        </w:rPr>
        <w:t>внеоборотных</w:t>
      </w:r>
      <w:proofErr w:type="spellEnd"/>
      <w:r w:rsidRPr="00270F63">
        <w:rPr>
          <w:rFonts w:ascii="Times New Roman" w:hAnsi="Times New Roman"/>
          <w:sz w:val="26"/>
          <w:szCs w:val="26"/>
        </w:rPr>
        <w:t xml:space="preserve"> материальных запасов по строке 081 Баланса. </w:t>
      </w:r>
    </w:p>
    <w:p w:rsidR="00270F63" w:rsidRPr="00270F63" w:rsidRDefault="00270F63" w:rsidP="00270F63">
      <w:pPr>
        <w:pStyle w:val="a7"/>
        <w:numPr>
          <w:ilvl w:val="1"/>
          <w:numId w:val="20"/>
        </w:numPr>
        <w:spacing w:line="240" w:lineRule="auto"/>
        <w:ind w:left="0" w:firstLine="142"/>
        <w:rPr>
          <w:rFonts w:ascii="Times New Roman" w:hAnsi="Times New Roman"/>
          <w:sz w:val="26"/>
          <w:szCs w:val="26"/>
        </w:rPr>
      </w:pPr>
      <w:r w:rsidRPr="00270F63">
        <w:rPr>
          <w:rFonts w:ascii="Times New Roman" w:hAnsi="Times New Roman"/>
          <w:sz w:val="26"/>
          <w:szCs w:val="26"/>
        </w:rPr>
        <w:t xml:space="preserve">Проверка правильности формирования Расчетов с учредителем (21006) и Участия в учреждениях (20433). </w:t>
      </w:r>
      <w:r w:rsidRPr="00270F63">
        <w:rPr>
          <w:rFonts w:ascii="Times New Roman" w:hAnsi="Times New Roman"/>
          <w:sz w:val="26"/>
          <w:szCs w:val="26"/>
        </w:rPr>
        <w:tab/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Основные требования к составу и порядку оформления Пояснительной записки (ф. 0503160 и ф. 0503760); Табличная часть Пояснительной записки и ее расширение. </w:t>
      </w:r>
    </w:p>
    <w:p w:rsidR="00270F63" w:rsidRPr="00270F63" w:rsidRDefault="00270F63" w:rsidP="00270F63">
      <w:pPr>
        <w:pStyle w:val="a7"/>
        <w:numPr>
          <w:ilvl w:val="0"/>
          <w:numId w:val="20"/>
        </w:numPr>
        <w:spacing w:line="240" w:lineRule="auto"/>
        <w:ind w:left="0" w:firstLine="284"/>
        <w:rPr>
          <w:rFonts w:ascii="Times New Roman" w:hAnsi="Times New Roman"/>
          <w:b/>
          <w:bCs/>
          <w:sz w:val="26"/>
          <w:szCs w:val="26"/>
        </w:rPr>
      </w:pPr>
      <w:r w:rsidRPr="00270F63">
        <w:rPr>
          <w:rFonts w:ascii="Times New Roman" w:hAnsi="Times New Roman"/>
          <w:b/>
          <w:bCs/>
          <w:sz w:val="26"/>
          <w:szCs w:val="26"/>
        </w:rPr>
        <w:t xml:space="preserve">Штрафы за нарушение порядка составления и представления отчетности и возражения на акты контролирующих органов.  </w:t>
      </w:r>
    </w:p>
    <w:p w:rsidR="00D9651B" w:rsidRPr="00270F63" w:rsidRDefault="00D9651B" w:rsidP="00A55D2D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</w:p>
    <w:p w:rsidR="00040B8A" w:rsidRPr="00040B8A" w:rsidRDefault="00040B8A" w:rsidP="00040B8A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40B8A">
        <w:rPr>
          <w:rFonts w:ascii="Times New Roman" w:hAnsi="Times New Roman" w:cs="Times New Roman"/>
          <w:b/>
          <w:bCs/>
          <w:sz w:val="26"/>
          <w:szCs w:val="26"/>
          <w:lang w:val="ru-RU"/>
        </w:rPr>
        <w:t>СТОИМОСТЬ УЧАСТИЯ: 4 500,00 руб. (без НДС), о</w:t>
      </w:r>
      <w:r w:rsidRPr="00040B8A">
        <w:rPr>
          <w:rFonts w:ascii="Times New Roman" w:hAnsi="Times New Roman" w:cs="Times New Roman"/>
          <w:sz w:val="26"/>
          <w:szCs w:val="26"/>
          <w:lang w:val="ru-RU"/>
        </w:rPr>
        <w:t xml:space="preserve">формляется договор на информационно-консультационные услуги </w:t>
      </w:r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>только с юридическими лицами.</w:t>
      </w:r>
    </w:p>
    <w:p w:rsidR="0011359C" w:rsidRDefault="0011359C" w:rsidP="00040B8A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040B8A" w:rsidRPr="00040B8A" w:rsidRDefault="00040B8A" w:rsidP="00040B8A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 xml:space="preserve">Запись </w:t>
      </w:r>
      <w:proofErr w:type="spellStart"/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>вебинара</w:t>
      </w:r>
      <w:proofErr w:type="spellEnd"/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предоставляется в течение 3</w:t>
      </w:r>
      <w:r w:rsidR="0011359C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рабочих</w:t>
      </w:r>
      <w:bookmarkStart w:id="0" w:name="_GoBack"/>
      <w:bookmarkEnd w:id="0"/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дней после проведения мероприятия - ссылка действительна от 14 дней.</w:t>
      </w:r>
    </w:p>
    <w:p w:rsidR="00F01263" w:rsidRPr="00040B8A" w:rsidRDefault="00F01263" w:rsidP="00F01263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01263" w:rsidRPr="00F222B5" w:rsidRDefault="00F01263" w:rsidP="00F01263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08518A" wp14:editId="5B2D1EDB">
                <wp:simplePos x="0" y="0"/>
                <wp:positionH relativeFrom="column">
                  <wp:posOffset>100609</wp:posOffset>
                </wp:positionH>
                <wp:positionV relativeFrom="paragraph">
                  <wp:posOffset>98069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01263" w:rsidRDefault="00F01263" w:rsidP="00F0126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>
                              <w:rPr>
                                <w:rFonts w:cs="Arial"/>
                                <w:lang w:val="ru-RU"/>
                              </w:rPr>
                              <w:t xml:space="preserve">или электронным почтам 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uc</w:t>
                              </w:r>
                              <w:r>
                                <w:rPr>
                                  <w:rStyle w:val="a3"/>
                                  <w:rFonts w:cs="Arial"/>
                                  <w:b/>
                                </w:rPr>
                                <w:t>240@</w:t>
                              </w:r>
                              <w:r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rStyle w:val="a3"/>
                                  <w:rFonts w:cs="Arial"/>
                                  <w:b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ru</w:t>
                              </w:r>
                            </w:hyperlink>
                            <w:r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Оформ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F01263" w:rsidRDefault="00F01263" w:rsidP="00F0126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F01263" w:rsidRPr="00E13745" w:rsidRDefault="00F01263" w:rsidP="00F01263">
                            <w:pPr>
                              <w:pStyle w:val="a7"/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8"/>
                              </w:rPr>
                            </w:pPr>
                            <w:r>
                              <w:rPr>
                                <w:b/>
                                <w:lang w:val="ru-RU"/>
                              </w:rPr>
                              <w:t>8-8332-</w:t>
                            </w:r>
                            <w:proofErr w:type="gramStart"/>
                            <w:r>
                              <w:rPr>
                                <w:b/>
                                <w:lang w:val="ru-RU"/>
                              </w:rPr>
                              <w:t xml:space="preserve">414139,  </w:t>
                            </w:r>
                            <w:hyperlink r:id="rId7" w:history="1">
                              <w:r>
                                <w:rPr>
                                  <w:rStyle w:val="a3"/>
                                  <w:b/>
                                </w:rPr>
                                <w:t>uc</w:t>
                              </w:r>
                              <w:r>
                                <w:rPr>
                                  <w:rStyle w:val="a3"/>
                                  <w:b/>
                                  <w:lang w:val="ru-RU"/>
                                </w:rPr>
                                <w:t>240@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mail</w:t>
                              </w:r>
                              <w:r>
                                <w:rPr>
                                  <w:rStyle w:val="a3"/>
                                  <w:b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ru</w:t>
                              </w:r>
                              <w:proofErr w:type="gramEnd"/>
                            </w:hyperlink>
                            <w:r>
                              <w:rPr>
                                <w:rStyle w:val="a3"/>
                                <w:b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Style w:val="a3"/>
                                <w:b/>
                              </w:rPr>
                              <w:t>ti</w:t>
                            </w:r>
                            <w:r>
                              <w:rPr>
                                <w:rStyle w:val="a3"/>
                                <w:b/>
                                <w:lang w:val="ru-RU"/>
                              </w:rPr>
                              <w:t>13@</w:t>
                            </w:r>
                            <w:r>
                              <w:rPr>
                                <w:rStyle w:val="a3"/>
                                <w:b/>
                              </w:rPr>
                              <w:t>ipbr</w:t>
                            </w:r>
                            <w:r>
                              <w:rPr>
                                <w:rStyle w:val="a3"/>
                                <w:b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Style w:val="a3"/>
                                <w:b/>
                              </w:rPr>
                              <w:t>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08518A" id="Скругленный прямоугольник 4" o:spid="_x0000_s1026" style="position:absolute;left:0;text-align:left;margin-left:7.9pt;margin-top:7.7pt;width:499.95pt;height:13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" strokeweight="4.5pt">
                <v:stroke linestyle="thickThin"/>
                <v:shadow opacity=".5" offset="6pt,-6pt"/>
                <v:textbox>
                  <w:txbxContent>
                    <w:p w:rsidR="00F01263" w:rsidRDefault="00F01263" w:rsidP="00F01263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F01263" w:rsidRDefault="00F01263" w:rsidP="00F01263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Зарегистрироваться по телефон</w:t>
                      </w:r>
                      <w:r>
                        <w:rPr>
                          <w:rFonts w:cs="Arial"/>
                          <w:lang w:val="ru-RU"/>
                        </w:rPr>
                        <w:t>у</w:t>
                      </w:r>
                      <w:r>
                        <w:rPr>
                          <w:rFonts w:cs="Arial"/>
                        </w:rPr>
                        <w:t xml:space="preserve"> 8-8332-414139</w:t>
                      </w:r>
                      <w:r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F01263" w:rsidRDefault="00F01263" w:rsidP="00F01263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>
                        <w:rPr>
                          <w:rFonts w:cs="Arial"/>
                          <w:lang w:val="ru-RU"/>
                        </w:rPr>
                        <w:t xml:space="preserve">или электронным почтам </w:t>
                      </w:r>
                      <w:hyperlink r:id="rId8" w:history="1">
                        <w:r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uc</w:t>
                        </w:r>
                        <w:r>
                          <w:rPr>
                            <w:rStyle w:val="a3"/>
                            <w:rFonts w:cs="Arial"/>
                            <w:b/>
                          </w:rPr>
                          <w:t>240@</w:t>
                        </w:r>
                        <w:r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mail</w:t>
                        </w:r>
                        <w:r>
                          <w:rPr>
                            <w:rStyle w:val="a3"/>
                            <w:rFonts w:cs="Arial"/>
                            <w:b/>
                          </w:rPr>
                          <w:t>.</w:t>
                        </w:r>
                        <w:r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ru</w:t>
                        </w:r>
                      </w:hyperlink>
                      <w:r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F01263" w:rsidRDefault="00F01263" w:rsidP="00F01263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Оформ</w:t>
                      </w:r>
                      <w:r>
                        <w:rPr>
                          <w:rFonts w:cs="Arial"/>
                          <w:lang w:val="ru-RU"/>
                        </w:rPr>
                        <w:t>ить</w:t>
                      </w:r>
                      <w:r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F01263" w:rsidRDefault="00F01263" w:rsidP="00F01263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F01263" w:rsidRDefault="00F01263" w:rsidP="00F01263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F01263" w:rsidRPr="00E13745" w:rsidRDefault="00F01263" w:rsidP="00F01263">
                      <w:pPr>
                        <w:pStyle w:val="a7"/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8"/>
                        </w:rPr>
                      </w:pPr>
                      <w:r>
                        <w:rPr>
                          <w:b/>
                          <w:lang w:val="ru-RU"/>
                        </w:rPr>
                        <w:t>8-8332-</w:t>
                      </w:r>
                      <w:proofErr w:type="gramStart"/>
                      <w:r>
                        <w:rPr>
                          <w:b/>
                          <w:lang w:val="ru-RU"/>
                        </w:rPr>
                        <w:t xml:space="preserve">414139,  </w:t>
                      </w:r>
                      <w:hyperlink r:id="rId9" w:history="1">
                        <w:r>
                          <w:rPr>
                            <w:rStyle w:val="a3"/>
                            <w:b/>
                          </w:rPr>
                          <w:t>uc</w:t>
                        </w:r>
                        <w:r>
                          <w:rPr>
                            <w:rStyle w:val="a3"/>
                            <w:b/>
                            <w:lang w:val="ru-RU"/>
                          </w:rPr>
                          <w:t>240@</w:t>
                        </w:r>
                        <w:r>
                          <w:rPr>
                            <w:rStyle w:val="a3"/>
                            <w:b/>
                          </w:rPr>
                          <w:t>mail</w:t>
                        </w:r>
                        <w:r>
                          <w:rPr>
                            <w:rStyle w:val="a3"/>
                            <w:b/>
                            <w:lang w:val="ru-RU"/>
                          </w:rPr>
                          <w:t>.</w:t>
                        </w:r>
                        <w:r>
                          <w:rPr>
                            <w:rStyle w:val="a3"/>
                            <w:b/>
                          </w:rPr>
                          <w:t>ru</w:t>
                        </w:r>
                        <w:proofErr w:type="gramEnd"/>
                      </w:hyperlink>
                      <w:r>
                        <w:rPr>
                          <w:rStyle w:val="a3"/>
                          <w:b/>
                          <w:lang w:val="ru-RU"/>
                        </w:rPr>
                        <w:t xml:space="preserve">, </w:t>
                      </w:r>
                      <w:r>
                        <w:rPr>
                          <w:rStyle w:val="a3"/>
                          <w:b/>
                        </w:rPr>
                        <w:t>ti</w:t>
                      </w:r>
                      <w:r>
                        <w:rPr>
                          <w:rStyle w:val="a3"/>
                          <w:b/>
                          <w:lang w:val="ru-RU"/>
                        </w:rPr>
                        <w:t>13@</w:t>
                      </w:r>
                      <w:r>
                        <w:rPr>
                          <w:rStyle w:val="a3"/>
                          <w:b/>
                        </w:rPr>
                        <w:t>ipbr</w:t>
                      </w:r>
                      <w:r>
                        <w:rPr>
                          <w:rStyle w:val="a3"/>
                          <w:b/>
                          <w:lang w:val="ru-RU"/>
                        </w:rPr>
                        <w:t>.</w:t>
                      </w:r>
                      <w:r>
                        <w:rPr>
                          <w:rStyle w:val="a3"/>
                          <w:b/>
                        </w:rPr>
                        <w:t>org</w:t>
                      </w:r>
                    </w:p>
                  </w:txbxContent>
                </v:textbox>
              </v:roundrect>
            </w:pict>
          </mc:Fallback>
        </mc:AlternateContent>
      </w:r>
    </w:p>
    <w:p w:rsidR="00F01263" w:rsidRPr="00F222B5" w:rsidRDefault="00F01263" w:rsidP="00F01263">
      <w:pPr>
        <w:ind w:left="142" w:right="-143"/>
        <w:rPr>
          <w:sz w:val="24"/>
          <w:szCs w:val="24"/>
          <w:lang w:val="ru-RU"/>
        </w:rPr>
      </w:pPr>
    </w:p>
    <w:p w:rsidR="00F01263" w:rsidRPr="00F222B5" w:rsidRDefault="00F01263" w:rsidP="00F01263">
      <w:pPr>
        <w:ind w:left="142" w:right="-143"/>
        <w:rPr>
          <w:sz w:val="24"/>
          <w:szCs w:val="24"/>
          <w:lang w:val="ru-RU"/>
        </w:rPr>
      </w:pPr>
    </w:p>
    <w:p w:rsidR="00F01263" w:rsidRPr="00F222B5" w:rsidRDefault="00F01263" w:rsidP="00F01263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F0126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>
      <w:pgSz w:w="11906" w:h="16838"/>
      <w:pgMar w:top="567" w:right="567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87A8F"/>
    <w:multiLevelType w:val="multilevel"/>
    <w:tmpl w:val="79A068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30214"/>
    <w:multiLevelType w:val="multilevel"/>
    <w:tmpl w:val="D0561A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1344F"/>
    <w:multiLevelType w:val="multilevel"/>
    <w:tmpl w:val="68A028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5E87276E"/>
    <w:multiLevelType w:val="multilevel"/>
    <w:tmpl w:val="05AA9B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B349EE"/>
    <w:multiLevelType w:val="multilevel"/>
    <w:tmpl w:val="0CE277F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15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6"/>
  </w:num>
  <w:num w:numId="15">
    <w:abstractNumId w:val="18"/>
  </w:num>
  <w:num w:numId="16">
    <w:abstractNumId w:val="11"/>
  </w:num>
  <w:num w:numId="17">
    <w:abstractNumId w:val="9"/>
  </w:num>
  <w:num w:numId="18">
    <w:abstractNumId w:val="17"/>
  </w:num>
  <w:num w:numId="19">
    <w:abstractNumId w:val="1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40B8A"/>
    <w:rsid w:val="00051882"/>
    <w:rsid w:val="00066F7C"/>
    <w:rsid w:val="000A2C64"/>
    <w:rsid w:val="000F79FF"/>
    <w:rsid w:val="0011359C"/>
    <w:rsid w:val="00120B85"/>
    <w:rsid w:val="00176254"/>
    <w:rsid w:val="001A25DC"/>
    <w:rsid w:val="001D7DF9"/>
    <w:rsid w:val="00211194"/>
    <w:rsid w:val="002147B1"/>
    <w:rsid w:val="00254092"/>
    <w:rsid w:val="00270F63"/>
    <w:rsid w:val="002B5770"/>
    <w:rsid w:val="00321311"/>
    <w:rsid w:val="0038341E"/>
    <w:rsid w:val="003960F7"/>
    <w:rsid w:val="003A4AE8"/>
    <w:rsid w:val="004A2074"/>
    <w:rsid w:val="004B1703"/>
    <w:rsid w:val="004B662B"/>
    <w:rsid w:val="005025E1"/>
    <w:rsid w:val="00592EA5"/>
    <w:rsid w:val="005C0557"/>
    <w:rsid w:val="005F723F"/>
    <w:rsid w:val="00737034"/>
    <w:rsid w:val="007E2E81"/>
    <w:rsid w:val="00804A36"/>
    <w:rsid w:val="008C35E8"/>
    <w:rsid w:val="00991D37"/>
    <w:rsid w:val="00A55D2D"/>
    <w:rsid w:val="00A843B2"/>
    <w:rsid w:val="00B9748E"/>
    <w:rsid w:val="00C17705"/>
    <w:rsid w:val="00C2115A"/>
    <w:rsid w:val="00C47CBC"/>
    <w:rsid w:val="00CD5E0B"/>
    <w:rsid w:val="00D9651B"/>
    <w:rsid w:val="00F01263"/>
    <w:rsid w:val="00F2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Strong"/>
    <w:basedOn w:val="a0"/>
    <w:uiPriority w:val="22"/>
    <w:qFormat/>
    <w:rsid w:val="00040B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24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2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98067-EF6B-416D-BF52-5F98F1CB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2</cp:revision>
  <cp:lastPrinted>2026-02-18T09:38:00Z</cp:lastPrinted>
  <dcterms:created xsi:type="dcterms:W3CDTF">2026-10-05T08:35:00Z</dcterms:created>
  <dcterms:modified xsi:type="dcterms:W3CDTF">2026-10-05T08:35:00Z</dcterms:modified>
</cp:coreProperties>
</file>